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3565" w14:textId="77777777" w:rsidR="00BA78FA" w:rsidRDefault="00BA78FA"/>
    <w:p w14:paraId="41F5B9D4" w14:textId="187554ED" w:rsidR="00C951FD" w:rsidRDefault="00C951FD" w:rsidP="00C951FD">
      <w:pPr>
        <w:spacing w:before="240" w:after="240" w:line="276" w:lineRule="auto"/>
        <w:rPr>
          <w:rFonts w:ascii="Arial" w:eastAsia="Arial" w:hAnsi="Arial" w:cs="Arial"/>
          <w:b/>
          <w:kern w:val="0"/>
          <w:sz w:val="28"/>
          <w:szCs w:val="28"/>
          <w:lang w:eastAsia="pl-PL"/>
          <w14:ligatures w14:val="none"/>
        </w:rPr>
      </w:pPr>
      <w:r w:rsidRPr="00C951FD">
        <w:rPr>
          <w:rFonts w:ascii="Arial" w:eastAsia="Arial" w:hAnsi="Arial" w:cs="Arial"/>
          <w:b/>
          <w:kern w:val="0"/>
          <w:sz w:val="28"/>
          <w:szCs w:val="28"/>
          <w:lang w:eastAsia="pl-PL"/>
          <w14:ligatures w14:val="none"/>
        </w:rPr>
        <w:t xml:space="preserve">Załącznik nr </w:t>
      </w:r>
      <w:r w:rsidR="00905C82">
        <w:rPr>
          <w:rFonts w:ascii="Arial" w:eastAsia="Arial" w:hAnsi="Arial" w:cs="Arial"/>
          <w:b/>
          <w:kern w:val="0"/>
          <w:sz w:val="28"/>
          <w:szCs w:val="28"/>
          <w:lang w:eastAsia="pl-PL"/>
          <w14:ligatures w14:val="none"/>
        </w:rPr>
        <w:t>4</w:t>
      </w:r>
      <w:r w:rsidRPr="00C951FD">
        <w:rPr>
          <w:rFonts w:ascii="Arial" w:eastAsia="Arial" w:hAnsi="Arial" w:cs="Arial"/>
          <w:b/>
          <w:kern w:val="0"/>
          <w:sz w:val="28"/>
          <w:szCs w:val="28"/>
          <w:lang w:eastAsia="pl-PL"/>
          <w14:ligatures w14:val="none"/>
        </w:rPr>
        <w:t xml:space="preserve"> do regulaminu naboru nr 1/2025/M/EFS+</w:t>
      </w:r>
    </w:p>
    <w:p w14:paraId="1113B841" w14:textId="6441CD4A" w:rsidR="00C951FD" w:rsidRDefault="00C951FD" w:rsidP="00C951FD">
      <w:pPr>
        <w:spacing w:after="240" w:line="276" w:lineRule="auto"/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 xml:space="preserve">Zasady konstruowania budżetu i katalog stawek maksymalnych w ramach Projektu grantowego Trzy Doliny </w:t>
      </w:r>
      <w:r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br/>
      </w: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z Młodymi</w:t>
      </w:r>
    </w:p>
    <w:p w14:paraId="22AC2EBE" w14:textId="77777777" w:rsidR="00C951FD" w:rsidRPr="00C951FD" w:rsidRDefault="00C951FD" w:rsidP="00C951FD">
      <w:pPr>
        <w:numPr>
          <w:ilvl w:val="0"/>
          <w:numId w:val="1"/>
        </w:numPr>
        <w:tabs>
          <w:tab w:val="left" w:pos="1060"/>
        </w:tabs>
        <w:spacing w:after="240" w:line="276" w:lineRule="auto"/>
        <w:ind w:left="724" w:hanging="724"/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PODSTAWOWE ZASADY KONSTRUOWANIA BUDŻETU PROJEKTU</w:t>
      </w:r>
    </w:p>
    <w:p w14:paraId="4289EB44" w14:textId="77777777" w:rsidR="00C951FD" w:rsidRPr="00C951FD" w:rsidRDefault="00C951FD" w:rsidP="00C951FD">
      <w:pPr>
        <w:numPr>
          <w:ilvl w:val="0"/>
          <w:numId w:val="2"/>
        </w:numPr>
        <w:tabs>
          <w:tab w:val="left" w:pos="700"/>
        </w:tabs>
        <w:spacing w:after="0" w:line="276" w:lineRule="auto"/>
        <w:ind w:left="364" w:hanging="364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Szczegółowy budżet projektu jest podstawą do oceny kwalifikowalności, niezbędności, racjonalności i efektywności kosztów, w tym oceny poprawności sporządzenia budżetu projektu. Szczegółowy budżet projektu powinien bezpośrednio wynikać z opisanego zadania merytorycznego.</w:t>
      </w:r>
    </w:p>
    <w:p w14:paraId="40136B0B" w14:textId="77777777" w:rsidR="00C951FD" w:rsidRPr="00C951FD" w:rsidRDefault="00C951FD" w:rsidP="00C951FD">
      <w:pPr>
        <w:numPr>
          <w:ilvl w:val="0"/>
          <w:numId w:val="2"/>
        </w:numPr>
        <w:tabs>
          <w:tab w:val="left" w:pos="700"/>
        </w:tabs>
        <w:spacing w:after="0" w:line="276" w:lineRule="auto"/>
        <w:ind w:left="364" w:hanging="364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Budżet szczegółowy powinien być przygotowany oddzielnie dla każdego zadania merytorycznego i zarządzania projektem. Wszystkie koszty wskazywane w zadaniu merytorycznym projektu stanowią koszty bezpośrednie.</w:t>
      </w:r>
    </w:p>
    <w:p w14:paraId="43FE4895" w14:textId="3C768C37" w:rsidR="00C951FD" w:rsidRPr="00C951FD" w:rsidRDefault="00C951FD" w:rsidP="00C951FD">
      <w:pPr>
        <w:numPr>
          <w:ilvl w:val="0"/>
          <w:numId w:val="2"/>
        </w:numPr>
        <w:tabs>
          <w:tab w:val="left" w:pos="700"/>
        </w:tabs>
        <w:spacing w:after="0" w:line="276" w:lineRule="auto"/>
        <w:ind w:left="364" w:hanging="364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Kosztów należących do kategorii koszty administracyjne nie należy ujmować w kosztach bezpośrednich projektu, </w:t>
      </w:r>
      <w:r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br/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w szczególności dotyczy to kosztów </w:t>
      </w: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zarządzania projektem i rekrutacji</w:t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. W szczegółowym budżecie projektu należy wskazać jedynie wydatki kwalifikowalne, spełniające warunki określone w Wytycznych w zakresie kwalifikowalności wydatków na lata 2021-2027.</w:t>
      </w:r>
    </w:p>
    <w:p w14:paraId="0D334FD4" w14:textId="2AEDF46C" w:rsidR="00C951FD" w:rsidRPr="00C951FD" w:rsidRDefault="00C951FD" w:rsidP="00C951FD">
      <w:pPr>
        <w:numPr>
          <w:ilvl w:val="0"/>
          <w:numId w:val="2"/>
        </w:numPr>
        <w:tabs>
          <w:tab w:val="left" w:pos="700"/>
        </w:tabs>
        <w:spacing w:after="0" w:line="276" w:lineRule="auto"/>
        <w:ind w:left="364" w:hanging="364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Tworząc budżet projektu, należy pamiętać o podstawowych zasadach kwalifikowalności, tj. niezbędności, racjonalności i efektywności wydatków. Przez niezbędność rozumie się ujmowanie w budżecie kosztów koniecznych do osiągnięcia celu projektu. </w:t>
      </w: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Efektywność</w:t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 dotyczy uzyskiwania jak najlepszych efektów przy danym poziomie nakładów. </w:t>
      </w: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Racjonalność</w:t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 odnosi się do zapewnienia zgodności ze stawkami rynkowymi nie tylko pojedynczych wydatków wykazanych w szczegółowym budżecie projektu, ale również do łącznej wartości usług realizowanych </w:t>
      </w:r>
      <w:r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br/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w ramach projektu. </w:t>
      </w: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 xml:space="preserve">Wszystkie kwoty w szczegółowym budżecie należy podawać w złotych (do dwóch miejsc po przecinku). </w:t>
      </w:r>
    </w:p>
    <w:p w14:paraId="048A2760" w14:textId="05C68FEE" w:rsidR="00C951FD" w:rsidRPr="00C951FD" w:rsidRDefault="00C951FD" w:rsidP="00C951FD">
      <w:pPr>
        <w:numPr>
          <w:ilvl w:val="0"/>
          <w:numId w:val="2"/>
        </w:numPr>
        <w:tabs>
          <w:tab w:val="left" w:pos="700"/>
        </w:tabs>
        <w:spacing w:after="0" w:line="276" w:lineRule="auto"/>
        <w:ind w:left="364" w:hanging="364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lastRenderedPageBreak/>
        <w:t>W budżecie w polu „</w:t>
      </w: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Nazwa kosztu</w:t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” należy nazwać pojedyncze koszty (np. wynagrodzenie trenera/instruktora, materiały na warsztaty, zakup wyposażenia.) w ramach danego zadania, które zostało określone w punkcie </w:t>
      </w:r>
      <w:r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br/>
      </w: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V. Zadania projektu – szczegółowy opis projektu objętego grantem</w:t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.</w:t>
      </w:r>
    </w:p>
    <w:p w14:paraId="4B6D7449" w14:textId="2D8C55E2" w:rsidR="00C951FD" w:rsidRDefault="00C951FD" w:rsidP="00C951FD">
      <w:pPr>
        <w:spacing w:after="240" w:line="276" w:lineRule="auto"/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1216"/>
        <w:gridCol w:w="2069"/>
        <w:gridCol w:w="1320"/>
        <w:gridCol w:w="1337"/>
        <w:gridCol w:w="1564"/>
        <w:gridCol w:w="1919"/>
        <w:gridCol w:w="2075"/>
        <w:gridCol w:w="1989"/>
      </w:tblGrid>
      <w:tr w:rsidR="00C951FD" w:rsidRPr="00C951FD" w14:paraId="35AAEA46" w14:textId="77777777" w:rsidTr="00C951FD">
        <w:trPr>
          <w:trHeight w:val="1126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17E814C6" w14:textId="77777777" w:rsidR="00C951FD" w:rsidRPr="00C951FD" w:rsidRDefault="00C951FD" w:rsidP="00C951FD">
            <w:pPr>
              <w:spacing w:after="0" w:line="276" w:lineRule="auto"/>
              <w:ind w:left="113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Lp.</w:t>
            </w:r>
          </w:p>
        </w:tc>
        <w:tc>
          <w:tcPr>
            <w:tcW w:w="435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3D71A8CD" w14:textId="77777777" w:rsidR="00C951FD" w:rsidRPr="00C951FD" w:rsidRDefault="00C951FD" w:rsidP="00C951FD">
            <w:pPr>
              <w:spacing w:after="0" w:line="276" w:lineRule="auto"/>
              <w:ind w:left="113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Nr zadania</w:t>
            </w:r>
          </w:p>
        </w:tc>
        <w:tc>
          <w:tcPr>
            <w:tcW w:w="74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4C659524" w14:textId="77777777" w:rsidR="00C951FD" w:rsidRPr="00C951FD" w:rsidRDefault="00C951FD" w:rsidP="00C951FD">
            <w:pPr>
              <w:spacing w:after="0" w:line="276" w:lineRule="auto"/>
              <w:ind w:left="113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Nazwa kosztu</w:t>
            </w:r>
          </w:p>
        </w:tc>
        <w:tc>
          <w:tcPr>
            <w:tcW w:w="472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701769A8" w14:textId="77777777" w:rsidR="00C951FD" w:rsidRPr="00C951FD" w:rsidRDefault="00C951FD" w:rsidP="00C951FD">
            <w:pPr>
              <w:spacing w:after="0" w:line="276" w:lineRule="auto"/>
              <w:ind w:left="113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Jednostka miary</w:t>
            </w:r>
          </w:p>
        </w:tc>
        <w:tc>
          <w:tcPr>
            <w:tcW w:w="478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4D3D3B3B" w14:textId="77777777" w:rsidR="00C951FD" w:rsidRPr="00C951FD" w:rsidRDefault="00C951FD" w:rsidP="00C951FD">
            <w:pPr>
              <w:spacing w:after="0" w:line="276" w:lineRule="auto"/>
              <w:ind w:left="113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Ilość jednostek</w:t>
            </w:r>
          </w:p>
        </w:tc>
        <w:tc>
          <w:tcPr>
            <w:tcW w:w="559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4116212C" w14:textId="77777777" w:rsidR="00C951FD" w:rsidRPr="00C951FD" w:rsidRDefault="00C951FD" w:rsidP="00C951FD">
            <w:pPr>
              <w:spacing w:after="0" w:line="276" w:lineRule="auto"/>
              <w:ind w:left="113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Koszt jednostkowy (zł)</w:t>
            </w:r>
          </w:p>
        </w:tc>
        <w:tc>
          <w:tcPr>
            <w:tcW w:w="686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09036D8E" w14:textId="77777777" w:rsidR="00C951FD" w:rsidRPr="00C951FD" w:rsidRDefault="00C951FD" w:rsidP="00C951FD">
            <w:pPr>
              <w:spacing w:after="0" w:line="276" w:lineRule="auto"/>
              <w:ind w:left="113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Całkowity koszt kwalifikowalny (zł)</w:t>
            </w:r>
          </w:p>
        </w:tc>
        <w:tc>
          <w:tcPr>
            <w:tcW w:w="742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638E8885" w14:textId="77777777" w:rsidR="00C951FD" w:rsidRPr="00C951FD" w:rsidRDefault="00C951FD" w:rsidP="00C951FD">
            <w:pPr>
              <w:spacing w:after="0" w:line="276" w:lineRule="auto"/>
              <w:ind w:left="113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Dofinansowanie (grant) (zł)</w:t>
            </w:r>
          </w:p>
        </w:tc>
        <w:tc>
          <w:tcPr>
            <w:tcW w:w="712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6E184F66" w14:textId="77777777" w:rsidR="00C951FD" w:rsidRPr="00C951FD" w:rsidRDefault="00C951FD" w:rsidP="00C951FD">
            <w:pPr>
              <w:spacing w:after="0" w:line="276" w:lineRule="auto"/>
              <w:ind w:left="113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Wkład własny wnioskodawcy (zł)</w:t>
            </w:r>
          </w:p>
        </w:tc>
      </w:tr>
      <w:tr w:rsidR="00C951FD" w:rsidRPr="00C951FD" w14:paraId="1C3F1CC2" w14:textId="77777777" w:rsidTr="00C951FD">
        <w:trPr>
          <w:trHeight w:val="995"/>
        </w:trPr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A60C2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1.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EF0CE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8F244" w14:textId="77777777" w:rsidR="00C951FD" w:rsidRPr="00C951FD" w:rsidRDefault="00C951FD" w:rsidP="00C951FD">
            <w:pPr>
              <w:spacing w:after="0" w:line="276" w:lineRule="auto"/>
              <w:ind w:left="163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Wynagrodzenie kierownika klubu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2F5F7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godz.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2E7B6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50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008EE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100,00 zł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38E2A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5 000,00 zł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1DD31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5 000,00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F64EA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0,00</w:t>
            </w:r>
          </w:p>
        </w:tc>
      </w:tr>
      <w:tr w:rsidR="00C951FD" w:rsidRPr="00C951FD" w14:paraId="45749249" w14:textId="77777777" w:rsidTr="00C951FD">
        <w:trPr>
          <w:trHeight w:val="971"/>
        </w:trPr>
        <w:tc>
          <w:tcPr>
            <w:tcW w:w="1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EF759" w14:textId="77777777" w:rsidR="00C951FD" w:rsidRPr="00C951FD" w:rsidRDefault="00C951FD" w:rsidP="00C951FD">
            <w:pPr>
              <w:tabs>
                <w:tab w:val="left" w:pos="350"/>
              </w:tabs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2.</w:t>
            </w:r>
          </w:p>
        </w:tc>
        <w:tc>
          <w:tcPr>
            <w:tcW w:w="435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3E600" w14:textId="77777777" w:rsidR="00C951FD" w:rsidRPr="00C951FD" w:rsidRDefault="00C951FD" w:rsidP="00C951FD">
            <w:pPr>
              <w:tabs>
                <w:tab w:val="left" w:pos="465"/>
              </w:tabs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</w:p>
        </w:tc>
        <w:tc>
          <w:tcPr>
            <w:tcW w:w="74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B7194" w14:textId="77777777" w:rsidR="00C951FD" w:rsidRPr="00C951FD" w:rsidRDefault="00C951FD" w:rsidP="00C951FD">
            <w:pPr>
              <w:spacing w:after="0" w:line="276" w:lineRule="auto"/>
              <w:ind w:left="163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Wynagrodzenie animatora (wolontariusz)</w:t>
            </w:r>
          </w:p>
        </w:tc>
        <w:tc>
          <w:tcPr>
            <w:tcW w:w="472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123F6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godz.</w:t>
            </w:r>
          </w:p>
        </w:tc>
        <w:tc>
          <w:tcPr>
            <w:tcW w:w="478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D9579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20</w:t>
            </w:r>
          </w:p>
        </w:tc>
        <w:tc>
          <w:tcPr>
            <w:tcW w:w="559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BF53C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50,00 zł</w:t>
            </w:r>
          </w:p>
        </w:tc>
        <w:tc>
          <w:tcPr>
            <w:tcW w:w="686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BD410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1000,00 zł</w:t>
            </w:r>
          </w:p>
        </w:tc>
        <w:tc>
          <w:tcPr>
            <w:tcW w:w="742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35EC6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0,00</w:t>
            </w:r>
          </w:p>
        </w:tc>
        <w:tc>
          <w:tcPr>
            <w:tcW w:w="712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7C099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1000,00</w:t>
            </w:r>
          </w:p>
        </w:tc>
      </w:tr>
      <w:tr w:rsidR="00C951FD" w:rsidRPr="00C951FD" w14:paraId="18D2004E" w14:textId="77777777" w:rsidTr="00C951FD">
        <w:trPr>
          <w:trHeight w:val="697"/>
        </w:trPr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CD928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3.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396D2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DAE1C" w14:textId="77777777" w:rsidR="00C951FD" w:rsidRPr="00C951FD" w:rsidRDefault="00C951FD" w:rsidP="00C951FD">
            <w:pPr>
              <w:spacing w:after="0" w:line="276" w:lineRule="auto"/>
              <w:ind w:left="163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Zakup wyposażenia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D4E61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komplet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4A06D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B507C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2560,00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B8B8C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2560,00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56648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2560,00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1ABA0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0,00</w:t>
            </w:r>
          </w:p>
        </w:tc>
      </w:tr>
      <w:tr w:rsidR="00C951FD" w:rsidRPr="00C951FD" w14:paraId="1438EE16" w14:textId="77777777" w:rsidTr="00C951FD">
        <w:trPr>
          <w:trHeight w:val="1247"/>
        </w:trPr>
        <w:tc>
          <w:tcPr>
            <w:tcW w:w="1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26875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4.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E2C38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2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32068" w14:textId="77777777" w:rsidR="00C951FD" w:rsidRPr="00C951FD" w:rsidRDefault="00C951FD" w:rsidP="00C951FD">
            <w:pPr>
              <w:spacing w:after="0" w:line="276" w:lineRule="auto"/>
              <w:ind w:left="163"/>
              <w:jc w:val="both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Wyjazd związany z obszarem tematycznym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F1B3B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komplet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4A463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350D8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2500,00 zł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13101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5000,00 zł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1D898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5000,00 zł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F01E8" w14:textId="77777777" w:rsidR="00C951FD" w:rsidRPr="00C951FD" w:rsidRDefault="00C951FD" w:rsidP="00C951FD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0,00</w:t>
            </w:r>
          </w:p>
        </w:tc>
      </w:tr>
    </w:tbl>
    <w:p w14:paraId="7BC79052" w14:textId="77777777" w:rsidR="00C951FD" w:rsidRPr="00C951FD" w:rsidRDefault="00C951FD" w:rsidP="00C951FD">
      <w:pPr>
        <w:spacing w:after="240" w:line="276" w:lineRule="auto"/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</w:pPr>
    </w:p>
    <w:p w14:paraId="167BBCDC" w14:textId="77777777" w:rsidR="00C951FD" w:rsidRPr="00C951FD" w:rsidRDefault="00C951FD" w:rsidP="00C951FD">
      <w:pPr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Konstruowanie budżetu projektu należy opierać w szczególności na:</w:t>
      </w:r>
    </w:p>
    <w:p w14:paraId="24090B2E" w14:textId="77777777" w:rsidR="00C951FD" w:rsidRPr="00C951FD" w:rsidRDefault="00C951FD" w:rsidP="00C951FD">
      <w:pPr>
        <w:numPr>
          <w:ilvl w:val="0"/>
          <w:numId w:val="5"/>
        </w:numPr>
        <w:tabs>
          <w:tab w:val="left" w:pos="164"/>
        </w:tabs>
        <w:spacing w:after="0" w:line="276" w:lineRule="auto"/>
        <w:ind w:left="709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wytycznych w zakresie kwalifikowalności wydatków oraz</w:t>
      </w:r>
    </w:p>
    <w:p w14:paraId="09FEB397" w14:textId="77777777" w:rsidR="00C951FD" w:rsidRPr="00C951FD" w:rsidRDefault="00C951FD" w:rsidP="00C951FD">
      <w:pPr>
        <w:numPr>
          <w:ilvl w:val="0"/>
          <w:numId w:val="5"/>
        </w:numPr>
        <w:tabs>
          <w:tab w:val="left" w:pos="164"/>
        </w:tabs>
        <w:spacing w:after="0" w:line="276" w:lineRule="auto"/>
        <w:ind w:left="709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katalogu stawek maksymalnych</w:t>
      </w:r>
    </w:p>
    <w:p w14:paraId="0B3C4D19" w14:textId="76B198F0" w:rsidR="00C951FD" w:rsidRPr="00C951FD" w:rsidRDefault="00C951FD" w:rsidP="00C951FD">
      <w:pPr>
        <w:numPr>
          <w:ilvl w:val="1"/>
          <w:numId w:val="3"/>
        </w:numPr>
        <w:tabs>
          <w:tab w:val="left" w:pos="724"/>
        </w:tabs>
        <w:spacing w:after="0" w:line="276" w:lineRule="auto"/>
        <w:ind w:left="364" w:hanging="364"/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lastRenderedPageBreak/>
        <w:t xml:space="preserve">W projektach objętych grantem należy rozliczyć koszty administracyjne, związane z obsługą projektu objętego grantem i jego zarządzaniem przez </w:t>
      </w:r>
      <w:proofErr w:type="spellStart"/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grantobiorcę</w:t>
      </w:r>
      <w:proofErr w:type="spellEnd"/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, w ramach kwoty ryczałtowej do wysokości 20% zadań merytorycznych.</w:t>
      </w:r>
    </w:p>
    <w:p w14:paraId="23667620" w14:textId="77777777" w:rsidR="00C951FD" w:rsidRPr="00C951FD" w:rsidRDefault="00C951FD" w:rsidP="00C951FD">
      <w:pPr>
        <w:spacing w:after="0" w:line="276" w:lineRule="auto"/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Koszty administracyjne stanowią w szczególności:</w:t>
      </w:r>
    </w:p>
    <w:p w14:paraId="2CCE6C63" w14:textId="77777777" w:rsidR="00C951FD" w:rsidRPr="00C951FD" w:rsidRDefault="00C951FD" w:rsidP="00C951FD">
      <w:pPr>
        <w:spacing w:after="0" w:line="276" w:lineRule="auto"/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a) koszty personelu:</w:t>
      </w:r>
    </w:p>
    <w:p w14:paraId="0620E5BD" w14:textId="77777777" w:rsidR="00C951FD" w:rsidRPr="00C951FD" w:rsidRDefault="00C951FD" w:rsidP="00C951FD">
      <w:pPr>
        <w:numPr>
          <w:ilvl w:val="0"/>
          <w:numId w:val="4"/>
        </w:numPr>
        <w:tabs>
          <w:tab w:val="left" w:pos="247"/>
        </w:tabs>
        <w:spacing w:after="0" w:line="276" w:lineRule="auto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koszty koordynatora lub kierownika projektu objętego grantem oraz innego personelu bezpośrednio zaangażowanego w zarządzanie, rozliczanie, monitorowanie projektu lub prowadzenie innych działań administracyjnych w projekcie objętym grantem, w tym w szczególności koszty wynagrodzenia tych osób, ich delegacji służbowych i szkoleń oraz koszty związane z wdrażaniem polityki równych szans przez te osoby;</w:t>
      </w:r>
    </w:p>
    <w:p w14:paraId="371A39FC" w14:textId="77777777" w:rsidR="00C951FD" w:rsidRPr="00C951FD" w:rsidRDefault="00C951FD" w:rsidP="00C951FD">
      <w:pPr>
        <w:numPr>
          <w:ilvl w:val="0"/>
          <w:numId w:val="4"/>
        </w:numPr>
        <w:tabs>
          <w:tab w:val="left" w:pos="247"/>
        </w:tabs>
        <w:spacing w:after="0" w:line="276" w:lineRule="auto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koszty zarządu (koszty wynagrodzenia osób uprawnionych do reprezentowania jednostki, których zakresy czynności nie są przypisane wyłącznie do projektu objętego grantem, np. kierownik jednostki);</w:t>
      </w:r>
    </w:p>
    <w:p w14:paraId="042F467A" w14:textId="77777777" w:rsidR="00C951FD" w:rsidRPr="00C951FD" w:rsidRDefault="00C951FD" w:rsidP="00C951FD">
      <w:pPr>
        <w:numPr>
          <w:ilvl w:val="0"/>
          <w:numId w:val="4"/>
        </w:numPr>
        <w:tabs>
          <w:tab w:val="left" w:pos="247"/>
        </w:tabs>
        <w:spacing w:after="0" w:line="276" w:lineRule="auto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koszty personelu obsługowego (obsługa kadrowa, finansowa, administracyjna, sekretariat, kancelaria, obsługa prawna, w tym ta dotycząca zamówień) na potrzeby funkcjonowania jednostki;</w:t>
      </w:r>
    </w:p>
    <w:p w14:paraId="24AF6634" w14:textId="77777777" w:rsidR="00C951FD" w:rsidRPr="00C951FD" w:rsidRDefault="00C951FD" w:rsidP="00C951FD">
      <w:pPr>
        <w:numPr>
          <w:ilvl w:val="0"/>
          <w:numId w:val="4"/>
        </w:numPr>
        <w:tabs>
          <w:tab w:val="left" w:pos="170"/>
        </w:tabs>
        <w:spacing w:after="0" w:line="276" w:lineRule="auto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koszty obsługi księgowej (koszty wynagrodzenia osób księgujących wydatki w projekcie objętym grantem, w tym koszty zlecenia prowadzenia obsługi księgowej projektu biuru rachunkowemu);</w:t>
      </w:r>
    </w:p>
    <w:p w14:paraId="77F08EFC" w14:textId="77777777" w:rsidR="00C951FD" w:rsidRPr="00C951FD" w:rsidRDefault="00C951FD" w:rsidP="00C951FD">
      <w:pPr>
        <w:spacing w:after="0" w:line="276" w:lineRule="auto"/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b) koszty biura:</w:t>
      </w:r>
    </w:p>
    <w:p w14:paraId="62AA5F4B" w14:textId="77777777" w:rsidR="00C951FD" w:rsidRPr="00C951FD" w:rsidRDefault="00C951FD" w:rsidP="00C951FD">
      <w:pPr>
        <w:numPr>
          <w:ilvl w:val="0"/>
          <w:numId w:val="6"/>
        </w:numPr>
        <w:tabs>
          <w:tab w:val="left" w:pos="247"/>
        </w:tabs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koszty utrzymania powierzchni biurowych (czynsz, najem, opłaty administracyjne) związanych z obsługą administracyjną projektu;</w:t>
      </w:r>
    </w:p>
    <w:p w14:paraId="3D16A2ED" w14:textId="77777777" w:rsidR="00C951FD" w:rsidRPr="00C951FD" w:rsidRDefault="00C951FD" w:rsidP="00C951FD">
      <w:pPr>
        <w:numPr>
          <w:ilvl w:val="0"/>
          <w:numId w:val="6"/>
        </w:numPr>
        <w:tabs>
          <w:tab w:val="left" w:pos="170"/>
        </w:tabs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amortyzacja, najem lub zakup aktywów (środków trwałych i wartości niematerialnych i prawnych) używanych na potrzeby osób, o których mowa w lit. a – b;</w:t>
      </w:r>
    </w:p>
    <w:p w14:paraId="28754068" w14:textId="16453696" w:rsidR="00C951FD" w:rsidRPr="00C951FD" w:rsidRDefault="00C951FD" w:rsidP="00C951FD">
      <w:pPr>
        <w:numPr>
          <w:ilvl w:val="0"/>
          <w:numId w:val="6"/>
        </w:numPr>
        <w:tabs>
          <w:tab w:val="left" w:pos="170"/>
        </w:tabs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opłaty za energię elektryczną, cieplną, gazową i wodę, opłaty przesyłowe, opłaty za odprowadzanie ścieków </w:t>
      </w:r>
      <w:r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br/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w zakresie związanym z obsługą administracyjną projektu;</w:t>
      </w:r>
    </w:p>
    <w:p w14:paraId="3534953F" w14:textId="77777777" w:rsidR="00C951FD" w:rsidRPr="00C951FD" w:rsidRDefault="00C951FD" w:rsidP="00C951FD">
      <w:pPr>
        <w:numPr>
          <w:ilvl w:val="0"/>
          <w:numId w:val="6"/>
        </w:numPr>
        <w:tabs>
          <w:tab w:val="left" w:pos="170"/>
        </w:tabs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koszty usług pocztowych, telefonicznych, internetowych, kurierskich związanych z obsługą administracyjną projektu objętego grantem;</w:t>
      </w:r>
    </w:p>
    <w:p w14:paraId="3D4E65F5" w14:textId="77777777" w:rsidR="00C951FD" w:rsidRPr="00C951FD" w:rsidRDefault="00C951FD" w:rsidP="00C951FD">
      <w:pPr>
        <w:numPr>
          <w:ilvl w:val="0"/>
          <w:numId w:val="6"/>
        </w:numPr>
        <w:tabs>
          <w:tab w:val="left" w:pos="164"/>
        </w:tabs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koszty usług powielania dokumentów związanych z obsługą administracyjną projektu objętego grantem;</w:t>
      </w:r>
    </w:p>
    <w:p w14:paraId="03AA3A34" w14:textId="77777777" w:rsidR="00C951FD" w:rsidRPr="00C951FD" w:rsidRDefault="00C951FD" w:rsidP="00C951FD">
      <w:pPr>
        <w:numPr>
          <w:ilvl w:val="0"/>
          <w:numId w:val="6"/>
        </w:numPr>
        <w:spacing w:after="0" w:line="276" w:lineRule="auto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koszty materiałów biurowych i artykułów piśmienniczych związanych z obsługą administracyjną projektu;</w:t>
      </w:r>
    </w:p>
    <w:p w14:paraId="34879A55" w14:textId="77777777" w:rsidR="00C951FD" w:rsidRPr="00C951FD" w:rsidRDefault="00C951FD" w:rsidP="00C951FD">
      <w:pPr>
        <w:numPr>
          <w:ilvl w:val="0"/>
          <w:numId w:val="6"/>
        </w:numPr>
        <w:tabs>
          <w:tab w:val="left" w:pos="170"/>
        </w:tabs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lastRenderedPageBreak/>
        <w:t>koszty sprzątania pomieszczeń związanych z obsługą administracyjną projektu objętego grantem, w tym środki do utrzymania ich czystości oraz dezynsekcję, dezynfekcję, deratyzację tych pomieszczeń;</w:t>
      </w:r>
    </w:p>
    <w:p w14:paraId="5138869F" w14:textId="23040EB5" w:rsidR="00C951FD" w:rsidRDefault="00C951FD" w:rsidP="00C951FD">
      <w:pPr>
        <w:numPr>
          <w:ilvl w:val="0"/>
          <w:numId w:val="6"/>
        </w:numPr>
        <w:tabs>
          <w:tab w:val="left" w:pos="164"/>
        </w:tabs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koszty zabezpieczenia prawidłowej realizacji umów .</w:t>
      </w:r>
    </w:p>
    <w:p w14:paraId="54D0DB26" w14:textId="77777777" w:rsidR="00C951FD" w:rsidRPr="00C951FD" w:rsidRDefault="00C951FD" w:rsidP="00C951FD">
      <w:pPr>
        <w:numPr>
          <w:ilvl w:val="0"/>
          <w:numId w:val="7"/>
        </w:numPr>
        <w:tabs>
          <w:tab w:val="left" w:pos="313"/>
        </w:tabs>
        <w:spacing w:after="0" w:line="276" w:lineRule="auto"/>
        <w:ind w:left="360"/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działania informacyjno-promocyjne projektu</w:t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 (np. zakup materiałów promocyjnych i informacyjnych, zakup ogłoszeń prasowych, utworzenie i prowadzenie strony internetowej o projekcie, oznakowanie projektu, plakaty, ulotki, itp.);</w:t>
      </w:r>
    </w:p>
    <w:p w14:paraId="6B74341E" w14:textId="77777777" w:rsidR="00C951FD" w:rsidRPr="00C951FD" w:rsidRDefault="00C951FD" w:rsidP="00C951FD">
      <w:pPr>
        <w:numPr>
          <w:ilvl w:val="0"/>
          <w:numId w:val="8"/>
        </w:numPr>
        <w:spacing w:after="0" w:line="276" w:lineRule="auto"/>
        <w:ind w:left="360"/>
        <w:contextualSpacing/>
        <w:rPr>
          <w:rFonts w:ascii="Arial" w:eastAsia="Calibri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LGD zaleca aby wydatki w budżecie były grupowane w maksymalnie 5-6 zadań. W uzasadnieniu </w:t>
      </w:r>
      <w:proofErr w:type="spellStart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Grantobiorca</w:t>
      </w:r>
      <w:proofErr w:type="spellEnd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 opisuje wszystkie koszty które mieszczą się w danym zadaniu, </w:t>
      </w: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tzn. nie ujmować w osobnych pozycji budżetowych wydatków, które można uwzględnić w budżecie w ramach wydatku o charakterze zbiorczym.</w:t>
      </w:r>
    </w:p>
    <w:p w14:paraId="640051A4" w14:textId="4EB8D1D6" w:rsidR="00C951FD" w:rsidRPr="00C951FD" w:rsidRDefault="00C951FD" w:rsidP="00C951FD">
      <w:pPr>
        <w:numPr>
          <w:ilvl w:val="0"/>
          <w:numId w:val="8"/>
        </w:numPr>
        <w:spacing w:after="0" w:line="276" w:lineRule="auto"/>
        <w:ind w:left="360"/>
        <w:contextualSpacing/>
        <w:rPr>
          <w:rFonts w:ascii="Arial" w:eastAsia="Calibri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W uzasadnieniu kosztów specyficznych należy podać, co wchodzi w skład zestawu. Co do zasady</w:t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 w przypadku zestawów o niewielkiej wartości (obejmujących </w:t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br/>
        <w:t xml:space="preserve">np. teczki, notesy, pendrive itd.) wystarczające jest wskazanie elementów wchodzących w skład zestawu. </w:t>
      </w:r>
      <w:r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br/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W przypadku zestawów o większej wartości i zestawów, w których ocena racjonalności jedynie na podstawie określenia elementów składowych może być utrudniona, w uzasadnieniu należy wskazać również ceny jednostkowe, np. gdy w skład zestawu wchodzą elementy, których ceny jednostkowe nie są publicznie dostępne lub gdy istnieją wątpliwości co do sposobu kalkulacji wydatku. </w:t>
      </w:r>
    </w:p>
    <w:p w14:paraId="2356CDF2" w14:textId="0A8E61B9" w:rsidR="00C951FD" w:rsidRDefault="00C951FD" w:rsidP="00C951FD">
      <w:pPr>
        <w:spacing w:after="0" w:line="276" w:lineRule="auto"/>
        <w:ind w:left="360"/>
        <w:contextualSpacing/>
        <w:rPr>
          <w:rFonts w:ascii="Arial" w:eastAsia="Calibri" w:hAnsi="Arial" w:cs="Arial"/>
          <w:kern w:val="0"/>
          <w:sz w:val="26"/>
          <w:szCs w:val="26"/>
          <w:lang w:eastAsia="pl-PL"/>
          <w14:ligatures w14:val="none"/>
        </w:rPr>
      </w:pPr>
    </w:p>
    <w:p w14:paraId="066E89DB" w14:textId="77777777" w:rsidR="00C951FD" w:rsidRDefault="00C951FD">
      <w:pPr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br w:type="page"/>
      </w:r>
    </w:p>
    <w:p w14:paraId="3D5CC63B" w14:textId="124544D6" w:rsidR="00C951FD" w:rsidRPr="00C951FD" w:rsidRDefault="00C951FD" w:rsidP="00C951FD">
      <w:pPr>
        <w:spacing w:after="0" w:line="276" w:lineRule="auto"/>
        <w:contextualSpacing/>
        <w:jc w:val="both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lastRenderedPageBreak/>
        <w:t>Przykład:</w:t>
      </w:r>
    </w:p>
    <w:p w14:paraId="2B2DA8DD" w14:textId="59AB4E4E" w:rsidR="00C951FD" w:rsidRDefault="00C951FD" w:rsidP="00C951FD">
      <w:pPr>
        <w:spacing w:after="0" w:line="276" w:lineRule="auto"/>
        <w:jc w:val="both"/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Zalecenia dotyczące zakresu niezbędnych informacji uzasadniających dany koszt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6"/>
        <w:gridCol w:w="11078"/>
      </w:tblGrid>
      <w:tr w:rsidR="00C951FD" w:rsidRPr="00C951FD" w14:paraId="1A463568" w14:textId="77777777" w:rsidTr="00C951FD">
        <w:trPr>
          <w:trHeight w:val="2074"/>
        </w:trPr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30A95BD4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Wynagrodzenie trenera</w:t>
            </w:r>
          </w:p>
          <w:p w14:paraId="6C34926E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warsztatów (wskazany</w:t>
            </w:r>
          </w:p>
          <w:p w14:paraId="37E26B91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zakres tematyczny)</w:t>
            </w:r>
          </w:p>
        </w:tc>
        <w:tc>
          <w:tcPr>
            <w:tcW w:w="3961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558D8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Wynagrodzenie trenera warsztatów 10h x 170 zł brutto = 1700 zł.</w:t>
            </w:r>
          </w:p>
          <w:p w14:paraId="736E0EAA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Stawka określona na podstawie katalogu stawek maksymalnych.</w:t>
            </w:r>
          </w:p>
          <w:p w14:paraId="60357270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Koniecznością jest zatrudnienie prowadzących warsztaty, którzy mają odpowiednie kompetencje i kwalifikacje.</w:t>
            </w:r>
          </w:p>
          <w:p w14:paraId="7D741511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Potwierdzenie na podstawie CV lub dokumentu potwierdzającego kwalifikacje np. certyfikaty, dyplom lub zaświadczenie. Forma zatrudnienia: umowa </w:t>
            </w:r>
            <w:proofErr w:type="spellStart"/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cywilno</w:t>
            </w:r>
            <w:proofErr w:type="spellEnd"/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 -prawna/faktura/ rachunek</w:t>
            </w:r>
          </w:p>
          <w:p w14:paraId="695919F8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Przewiduje się udział średnio 12 osób na każdym warsztacie.</w:t>
            </w:r>
          </w:p>
        </w:tc>
      </w:tr>
      <w:tr w:rsidR="00C951FD" w:rsidRPr="00C951FD" w14:paraId="1BB6830A" w14:textId="77777777" w:rsidTr="00C951FD">
        <w:trPr>
          <w:trHeight w:val="1540"/>
        </w:trPr>
        <w:tc>
          <w:tcPr>
            <w:tcW w:w="103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127BA95B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Materiały na warsztaty</w:t>
            </w:r>
          </w:p>
        </w:tc>
        <w:tc>
          <w:tcPr>
            <w:tcW w:w="3961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CC1FB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 skład zestawu wchodzą: np.  kartki papieru, flamastry, karteczki samoprzylepne, taśma klejąca, nożyczki, filmy instruktażowe, materiały dla uczestników: skrypt na pendrive, pakiety ćwiczeń. Szacunkowy koszt materiałów przypadający na osobę to 50 zł podczas 10 godzin warsztatów. Koszt na osobę oszacowany na podstawie dotychczasowego doświadczenia wnioskodawcy w realizacji podobnych zajęć.</w:t>
            </w:r>
          </w:p>
          <w:p w14:paraId="434A7D52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50 zł x 12 osób = 600,00 zł</w:t>
            </w:r>
          </w:p>
        </w:tc>
      </w:tr>
      <w:tr w:rsidR="00C951FD" w:rsidRPr="00C951FD" w14:paraId="5F2635E8" w14:textId="77777777" w:rsidTr="00C951FD">
        <w:trPr>
          <w:trHeight w:val="680"/>
        </w:trPr>
        <w:tc>
          <w:tcPr>
            <w:tcW w:w="103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43CDDEB7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Catering na warsztaty</w:t>
            </w:r>
          </w:p>
        </w:tc>
        <w:tc>
          <w:tcPr>
            <w:tcW w:w="3961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5E247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 skład zestawu wchodzą: np. kawa, herbata, cukier  mleko, ciastka, cukierki, przekąski</w:t>
            </w:r>
          </w:p>
          <w:p w14:paraId="4D26A8CA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3 zestawy x 100 zł = 300,00 zł</w:t>
            </w:r>
          </w:p>
        </w:tc>
      </w:tr>
      <w:tr w:rsidR="00C951FD" w:rsidRPr="00C951FD" w14:paraId="26ACA16C" w14:textId="77777777" w:rsidTr="00C951FD">
        <w:trPr>
          <w:trHeight w:val="2381"/>
        </w:trPr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57EEEE08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wyjazd związany z</w:t>
            </w:r>
          </w:p>
          <w:p w14:paraId="042E8034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obszarem tematycznym</w:t>
            </w:r>
          </w:p>
        </w:tc>
        <w:tc>
          <w:tcPr>
            <w:tcW w:w="39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8EF76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Wstęp na tężnie: 40 zł x 12 osób = 480,00 zł</w:t>
            </w:r>
          </w:p>
          <w:p w14:paraId="1707278F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Transport: 1000,00 zł</w:t>
            </w:r>
          </w:p>
          <w:p w14:paraId="08855A71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Wyżywienie (obiad): 60zł x 12 osób  = 720 zł</w:t>
            </w:r>
          </w:p>
          <w:p w14:paraId="7EEB4B15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Ubezpieczenie: 25 zł x 12 osób = 300,00 zł</w:t>
            </w:r>
          </w:p>
          <w:p w14:paraId="23AC6103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Celem wyjazdu jest wsparcie zarówno profilaktyki zdrowotnej uczestnika, jak i integrację społeczną uczestników.</w:t>
            </w:r>
          </w:p>
          <w:p w14:paraId="271277A6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Przewiduje się udział średnio 12 osób na każdym warsztacie.</w:t>
            </w:r>
          </w:p>
          <w:p w14:paraId="0A84E0B1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Stawka określona na podstawie katalogu stawek maksymalnych.</w:t>
            </w:r>
          </w:p>
        </w:tc>
      </w:tr>
      <w:tr w:rsidR="00C951FD" w:rsidRPr="00C951FD" w14:paraId="51151EB1" w14:textId="77777777" w:rsidTr="00C951FD">
        <w:trPr>
          <w:trHeight w:val="941"/>
        </w:trPr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47B96BC6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Zakup wyposażenia do klubu</w:t>
            </w:r>
          </w:p>
        </w:tc>
        <w:tc>
          <w:tcPr>
            <w:tcW w:w="3961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865F8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500 zł x 3 stoły = 1500,00 zł</w:t>
            </w:r>
          </w:p>
          <w:p w14:paraId="531CA92B" w14:textId="656A8E93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Zakup stołów jest niezbędny, aby zapewnić odpowiednie warunki do prowadzenia zajęć dla 12 osób. Odpowiednia liczba stołów pozwoli każdemu uczestnikowi na wygodne korzystanie </w:t>
            </w:r>
            <w:r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br/>
            </w: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z przestrzeni roboczej, co jest kluczowe dla komfortu pracy.</w:t>
            </w:r>
          </w:p>
          <w:p w14:paraId="0D92BACE" w14:textId="77777777" w:rsidR="00C951FD" w:rsidRPr="00C951FD" w:rsidRDefault="00C951FD" w:rsidP="00C951FD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C951FD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Stawka określona na podstawie cen rynkowych (załączono ofertę).</w:t>
            </w:r>
          </w:p>
        </w:tc>
      </w:tr>
    </w:tbl>
    <w:p w14:paraId="1BE7E593" w14:textId="77777777" w:rsidR="00C951FD" w:rsidRPr="00C951FD" w:rsidRDefault="00C951FD" w:rsidP="00C951FD">
      <w:pPr>
        <w:spacing w:after="0" w:line="276" w:lineRule="auto"/>
        <w:jc w:val="both"/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</w:pPr>
    </w:p>
    <w:p w14:paraId="13479CF3" w14:textId="77777777" w:rsidR="00C951FD" w:rsidRPr="00C951FD" w:rsidRDefault="00C951FD" w:rsidP="00C951FD">
      <w:pPr>
        <w:spacing w:after="0" w:line="276" w:lineRule="auto"/>
        <w:ind w:left="360"/>
        <w:contextualSpacing/>
        <w:rPr>
          <w:rFonts w:ascii="Arial" w:eastAsia="Calibri" w:hAnsi="Arial" w:cs="Arial"/>
          <w:kern w:val="0"/>
          <w:sz w:val="26"/>
          <w:szCs w:val="26"/>
          <w:lang w:eastAsia="pl-PL"/>
          <w14:ligatures w14:val="none"/>
        </w:rPr>
      </w:pPr>
    </w:p>
    <w:p w14:paraId="520CCB1B" w14:textId="77777777" w:rsidR="00C951FD" w:rsidRPr="00C951FD" w:rsidRDefault="00C951FD" w:rsidP="00C951FD">
      <w:pPr>
        <w:numPr>
          <w:ilvl w:val="1"/>
          <w:numId w:val="9"/>
        </w:numPr>
        <w:tabs>
          <w:tab w:val="left" w:pos="1084"/>
        </w:tabs>
        <w:spacing w:after="240" w:line="276" w:lineRule="auto"/>
        <w:ind w:left="724" w:hanging="724"/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  <w:t>KATALOG STAWEK MAKSYMALNYCH</w:t>
      </w:r>
    </w:p>
    <w:p w14:paraId="4FD8A9E4" w14:textId="3FF0AC0A" w:rsidR="00C951FD" w:rsidRPr="00C951FD" w:rsidRDefault="00C951FD" w:rsidP="00C951FD">
      <w:pPr>
        <w:numPr>
          <w:ilvl w:val="0"/>
          <w:numId w:val="10"/>
        </w:numPr>
        <w:spacing w:after="0" w:line="276" w:lineRule="auto"/>
        <w:ind w:left="360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Niniejszy dokument określa katalog najczęściej występujących kosztów w ramach działania 7.4 Wspieranie integracji społecznej w ramach programu: Fundusze Europejskie dla Kujaw i Pomorza 2021-2027 oraz zawiera zalecenia odnośnie zasad konstruowania budżetu szczegółowego projektu objętego grantem. Katalog kosztów </w:t>
      </w:r>
      <w:r w:rsidR="00E22536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 </w:t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nie ma charakteru zamkniętego.</w:t>
      </w:r>
    </w:p>
    <w:p w14:paraId="45FA7CEC" w14:textId="75035F2A" w:rsidR="00C951FD" w:rsidRPr="00C951FD" w:rsidRDefault="00C951FD" w:rsidP="00C951FD">
      <w:pPr>
        <w:numPr>
          <w:ilvl w:val="0"/>
          <w:numId w:val="10"/>
        </w:numPr>
        <w:spacing w:after="0" w:line="276" w:lineRule="auto"/>
        <w:ind w:left="360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Stawki wyszczególnione w zestawieniu są stawkami maksymalnymi, jednak nie oznacza to automatycznego akceptowania przez oceniających stawek założonych na maksymalnym poziomie (brane pod uwagę będą takie czynniki jak: specyfika projektu objętego grantem, stopień złożoności projektu objętego grantem, wielkość grupy docelowej, miejsce realizacji).</w:t>
      </w:r>
    </w:p>
    <w:p w14:paraId="3597558F" w14:textId="77777777" w:rsidR="00C951FD" w:rsidRPr="00C951FD" w:rsidRDefault="00C951FD" w:rsidP="00C951FD">
      <w:pPr>
        <w:numPr>
          <w:ilvl w:val="0"/>
          <w:numId w:val="10"/>
        </w:numPr>
        <w:spacing w:after="0" w:line="276" w:lineRule="auto"/>
        <w:ind w:left="360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Kwoty ujęte w zestawieniu uwzględniają wartość brutto wydatku .</w:t>
      </w:r>
    </w:p>
    <w:p w14:paraId="09BA110A" w14:textId="77777777" w:rsidR="00C951FD" w:rsidRPr="00C951FD" w:rsidRDefault="00C951FD" w:rsidP="00C951FD">
      <w:pPr>
        <w:numPr>
          <w:ilvl w:val="0"/>
          <w:numId w:val="10"/>
        </w:numPr>
        <w:spacing w:after="0" w:line="276" w:lineRule="auto"/>
        <w:ind w:left="360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Godzina ujęta w zestawieniu, co do zasady oznacza godzinę zegarową (tj. 60 minut), chyba że w zestawieniu wskazano inaczej.</w:t>
      </w:r>
    </w:p>
    <w:p w14:paraId="422C680D" w14:textId="0005F42B" w:rsidR="00C951FD" w:rsidRPr="00C951FD" w:rsidRDefault="00C951FD" w:rsidP="00C951FD">
      <w:pPr>
        <w:numPr>
          <w:ilvl w:val="0"/>
          <w:numId w:val="10"/>
        </w:numPr>
        <w:spacing w:after="0" w:line="276" w:lineRule="auto"/>
        <w:ind w:left="360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Dopuszczalne jest ujmowanie w projekcie objętym grantem innych kosztów, które są niezbędne do jego realizacji. </w:t>
      </w:r>
      <w:r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br/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W odniesieniu do dóbr lub usług, które nie występują w obrocie powszechnym , w sytuacji, gdy dany koszt nie został ujęty w katalogu stawek maksymalnych, </w:t>
      </w:r>
      <w:proofErr w:type="spellStart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Grantobiorca</w:t>
      </w:r>
      <w:proofErr w:type="spellEnd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 winien uzasadnić ich racjonalność, załączając do wniosku </w:t>
      </w:r>
      <w:r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br/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o powierzenie grantu co najmniej 1 dokument uzasadniający przyjęty poziom cenowy (np. oferty cenowe, katalogi cenowe, wydruki ze stron www, itp.). Brak dokumentów uzasadniających poziom cen skutkuje uznaniem danego kosztu za niekwalifikowalny. </w:t>
      </w:r>
      <w:proofErr w:type="spellStart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Gratobiorca</w:t>
      </w:r>
      <w:proofErr w:type="spellEnd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 może dodatkowo załączyć do wniosku o powierzenie grantu kalkulacje </w:t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lastRenderedPageBreak/>
        <w:t>cenowe dot. np. kosztu zakupu materiałów na warsztaty dla uczestników , gdy koszt jest składową kilku elementów. Brak dokumentów uzasadniających poziom cen skutkuje uznaniem danego kosztu za nieracjonalny Dokonując oceny wydatków ujętych w budżetach projektów objętych grantem, LGD będzie weryfikować:</w:t>
      </w:r>
    </w:p>
    <w:p w14:paraId="3CA09623" w14:textId="77777777" w:rsidR="00C951FD" w:rsidRPr="00C951FD" w:rsidRDefault="00C951FD" w:rsidP="008C5C8F">
      <w:pPr>
        <w:numPr>
          <w:ilvl w:val="0"/>
          <w:numId w:val="11"/>
        </w:numPr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kwalifikowalność wydatków pod kątem zgodności z Wytycznymi dotyczącymi kwalifikowalności wydatków na lata 2021-2027</w:t>
      </w:r>
    </w:p>
    <w:p w14:paraId="77AC8744" w14:textId="77777777" w:rsidR="00C951FD" w:rsidRPr="00C951FD" w:rsidRDefault="00C951FD" w:rsidP="008C5C8F">
      <w:pPr>
        <w:numPr>
          <w:ilvl w:val="0"/>
          <w:numId w:val="11"/>
        </w:numPr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prawidłowość sporządzenia budżetu projektu objętego grantem.</w:t>
      </w:r>
    </w:p>
    <w:p w14:paraId="30CE31A4" w14:textId="77777777" w:rsidR="00C951FD" w:rsidRPr="00C951FD" w:rsidRDefault="00C951FD" w:rsidP="00C951FD">
      <w:pPr>
        <w:numPr>
          <w:ilvl w:val="0"/>
          <w:numId w:val="10"/>
        </w:numPr>
        <w:tabs>
          <w:tab w:val="left" w:pos="0"/>
        </w:tabs>
        <w:spacing w:after="0" w:line="276" w:lineRule="auto"/>
        <w:ind w:left="360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Kwota grantu może ulec odpowiedniemu zmniejszeniu w przypadku:</w:t>
      </w:r>
    </w:p>
    <w:p w14:paraId="715336D1" w14:textId="77777777" w:rsidR="00C951FD" w:rsidRPr="00C951FD" w:rsidRDefault="00C951FD" w:rsidP="008C5C8F">
      <w:pPr>
        <w:numPr>
          <w:ilvl w:val="0"/>
          <w:numId w:val="12"/>
        </w:numPr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stwierdzenia przez Radę LGD </w:t>
      </w:r>
      <w:proofErr w:type="spellStart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niekwalifikowalności</w:t>
      </w:r>
      <w:proofErr w:type="spellEnd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 lub nieracjonalności danego kosztu,</w:t>
      </w:r>
    </w:p>
    <w:p w14:paraId="206AF2C1" w14:textId="77777777" w:rsidR="00C951FD" w:rsidRPr="00C951FD" w:rsidRDefault="00C951FD" w:rsidP="008C5C8F">
      <w:pPr>
        <w:numPr>
          <w:ilvl w:val="0"/>
          <w:numId w:val="12"/>
        </w:numPr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niezastosowania przez </w:t>
      </w:r>
      <w:proofErr w:type="spellStart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Grantobiorcę</w:t>
      </w:r>
      <w:proofErr w:type="spellEnd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 katalogu stawek maksymalnych,</w:t>
      </w:r>
    </w:p>
    <w:p w14:paraId="41EF8F49" w14:textId="77777777" w:rsidR="00C951FD" w:rsidRPr="00C951FD" w:rsidRDefault="00C951FD" w:rsidP="008C5C8F">
      <w:pPr>
        <w:numPr>
          <w:ilvl w:val="0"/>
          <w:numId w:val="12"/>
        </w:numPr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niezastosowania się </w:t>
      </w:r>
      <w:proofErr w:type="spellStart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Grantobiorcy</w:t>
      </w:r>
      <w:proofErr w:type="spellEnd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 do Wytycznych dotyczących kwalifikowalności wydatków na lata 2021-2027,</w:t>
      </w:r>
    </w:p>
    <w:p w14:paraId="1E58ADB3" w14:textId="77777777" w:rsidR="00C951FD" w:rsidRPr="00C951FD" w:rsidRDefault="00C951FD" w:rsidP="008C5C8F">
      <w:pPr>
        <w:numPr>
          <w:ilvl w:val="0"/>
          <w:numId w:val="12"/>
        </w:numPr>
        <w:spacing w:after="0" w:line="276" w:lineRule="auto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włączenia przez </w:t>
      </w:r>
      <w:proofErr w:type="spellStart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Grantobiorcę</w:t>
      </w:r>
      <w:proofErr w:type="spellEnd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 do budżetu kosztów zaliczanych do kosztów cross-</w:t>
      </w:r>
      <w:proofErr w:type="spellStart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financingu</w:t>
      </w:r>
      <w:proofErr w:type="spellEnd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.</w:t>
      </w:r>
    </w:p>
    <w:p w14:paraId="4B0C7F1F" w14:textId="76468F70" w:rsidR="00C951FD" w:rsidRPr="00C951FD" w:rsidRDefault="00C951FD" w:rsidP="00C951FD">
      <w:pPr>
        <w:spacing w:after="0" w:line="276" w:lineRule="auto"/>
        <w:contextualSpacing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Mając na uwadze powyższe, przy planowaniu wydatków, </w:t>
      </w:r>
      <w:proofErr w:type="spellStart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Grantobiorca</w:t>
      </w:r>
      <w:proofErr w:type="spellEnd"/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 xml:space="preserve"> powinien kierować się zasadą, aby ujęty </w:t>
      </w:r>
      <w:r w:rsidR="008C5C8F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br/>
      </w:r>
      <w:r w:rsidRPr="00C951FD"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  <w:t>w budżecie koszt był niezbędny do realizacji celów projektu objętego grantem i został dokonany w sposób przejrzysty, racjonalny i efektywny, z zachowaniem zasad uzyskiwania najlepszych efektów z danych nakładów.</w:t>
      </w:r>
    </w:p>
    <w:p w14:paraId="6DB506C0" w14:textId="77777777" w:rsidR="00C951FD" w:rsidRPr="00C951FD" w:rsidRDefault="00C951FD" w:rsidP="00C951FD">
      <w:pPr>
        <w:tabs>
          <w:tab w:val="left" w:pos="164"/>
        </w:tabs>
        <w:spacing w:after="0" w:line="276" w:lineRule="auto"/>
        <w:ind w:left="720"/>
        <w:rPr>
          <w:rFonts w:ascii="Arial" w:eastAsia="Arial" w:hAnsi="Arial" w:cs="Arial"/>
          <w:kern w:val="0"/>
          <w:sz w:val="26"/>
          <w:szCs w:val="26"/>
          <w:lang w:eastAsia="pl-PL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3544"/>
        <w:gridCol w:w="103"/>
        <w:gridCol w:w="1824"/>
        <w:gridCol w:w="84"/>
        <w:gridCol w:w="1927"/>
        <w:gridCol w:w="84"/>
        <w:gridCol w:w="6399"/>
      </w:tblGrid>
      <w:tr w:rsidR="008C5C8F" w:rsidRPr="008C5C8F" w14:paraId="19CF230F" w14:textId="77777777" w:rsidTr="008C5C8F">
        <w:trPr>
          <w:cantSplit/>
          <w:trHeight w:val="283"/>
          <w:tblHeader/>
        </w:trPr>
        <w:tc>
          <w:tcPr>
            <w:tcW w:w="7" w:type="pct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7E032E4B" w14:textId="77777777" w:rsidR="008C5C8F" w:rsidRPr="008C5C8F" w:rsidRDefault="008C5C8F" w:rsidP="008C5C8F">
            <w:pPr>
              <w:spacing w:after="0" w:line="276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7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5B1400DC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  <w:t>Nazwa kosztu</w:t>
            </w:r>
          </w:p>
        </w:tc>
        <w:tc>
          <w:tcPr>
            <w:tcW w:w="37" w:type="pct"/>
            <w:tcBorders>
              <w:top w:val="single" w:sz="8" w:space="0" w:color="auto"/>
            </w:tcBorders>
            <w:shd w:val="clear" w:color="auto" w:fill="5B9BD5" w:themeFill="accent5"/>
            <w:vAlign w:val="center"/>
          </w:tcPr>
          <w:p w14:paraId="2971DD74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652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10496357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  <w:t>Jednostka</w:t>
            </w:r>
          </w:p>
          <w:p w14:paraId="6A74BCEC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  <w:t>miary</w:t>
            </w:r>
          </w:p>
        </w:tc>
        <w:tc>
          <w:tcPr>
            <w:tcW w:w="30" w:type="pct"/>
            <w:tcBorders>
              <w:top w:val="single" w:sz="8" w:space="0" w:color="auto"/>
            </w:tcBorders>
            <w:shd w:val="clear" w:color="auto" w:fill="5B9BD5" w:themeFill="accent5"/>
            <w:vAlign w:val="center"/>
          </w:tcPr>
          <w:p w14:paraId="1B808C0B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689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2D894176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  <w:t>Maksymalny</w:t>
            </w:r>
          </w:p>
          <w:p w14:paraId="05A11FF1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  <w:t>dopuszczalny</w:t>
            </w:r>
          </w:p>
          <w:p w14:paraId="11530C63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  <w:t>koszt (PLN)</w:t>
            </w:r>
          </w:p>
        </w:tc>
        <w:tc>
          <w:tcPr>
            <w:tcW w:w="30" w:type="pct"/>
            <w:tcBorders>
              <w:top w:val="single" w:sz="8" w:space="0" w:color="auto"/>
            </w:tcBorders>
            <w:shd w:val="clear" w:color="auto" w:fill="5B9BD5" w:themeFill="accent5"/>
            <w:vAlign w:val="center"/>
          </w:tcPr>
          <w:p w14:paraId="3A0EEF68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2289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5B9BD5" w:themeFill="accent5"/>
            <w:vAlign w:val="center"/>
          </w:tcPr>
          <w:p w14:paraId="6A034085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  <w:t>Oczekiwany standard</w:t>
            </w:r>
          </w:p>
        </w:tc>
      </w:tr>
      <w:tr w:rsidR="008C5C8F" w:rsidRPr="008C5C8F" w14:paraId="266711CA" w14:textId="77777777" w:rsidTr="007666C4">
        <w:trPr>
          <w:trHeight w:val="413"/>
        </w:trPr>
        <w:tc>
          <w:tcPr>
            <w:tcW w:w="7" w:type="pct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3A80A9C7" w14:textId="77777777" w:rsidR="008C5C8F" w:rsidRPr="008C5C8F" w:rsidRDefault="008C5C8F" w:rsidP="008C5C8F">
            <w:pPr>
              <w:spacing w:after="0" w:line="276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7" w:type="pct"/>
            <w:vMerge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74FDFB06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37" w:type="pct"/>
            <w:shd w:val="clear" w:color="auto" w:fill="D9D9D9"/>
            <w:vAlign w:val="center"/>
          </w:tcPr>
          <w:p w14:paraId="4E941D2D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652" w:type="pct"/>
            <w:vMerge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233014E7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30" w:type="pct"/>
            <w:shd w:val="clear" w:color="auto" w:fill="D9D9D9"/>
            <w:vAlign w:val="center"/>
          </w:tcPr>
          <w:p w14:paraId="069E9553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689" w:type="pct"/>
            <w:vMerge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0CD3357F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30" w:type="pct"/>
            <w:shd w:val="clear" w:color="auto" w:fill="D9D9D9"/>
            <w:vAlign w:val="center"/>
          </w:tcPr>
          <w:p w14:paraId="1DB80049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2289" w:type="pct"/>
            <w:vMerge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36EFBE5F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</w:tr>
      <w:tr w:rsidR="008C5C8F" w:rsidRPr="008C5C8F" w14:paraId="6FE74DCA" w14:textId="77777777" w:rsidTr="007666C4">
        <w:trPr>
          <w:trHeight w:val="413"/>
        </w:trPr>
        <w:tc>
          <w:tcPr>
            <w:tcW w:w="7" w:type="pct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B222C9A" w14:textId="77777777" w:rsidR="008C5C8F" w:rsidRPr="008C5C8F" w:rsidRDefault="008C5C8F" w:rsidP="008C5C8F">
            <w:pPr>
              <w:spacing w:after="0" w:line="276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7" w:type="pct"/>
            <w:vMerge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4915EEF4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37" w:type="pct"/>
            <w:shd w:val="clear" w:color="auto" w:fill="D9D9D9"/>
            <w:vAlign w:val="center"/>
          </w:tcPr>
          <w:p w14:paraId="697CECC4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652" w:type="pct"/>
            <w:vMerge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78940B25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30" w:type="pct"/>
            <w:shd w:val="clear" w:color="auto" w:fill="D9D9D9"/>
            <w:vAlign w:val="center"/>
          </w:tcPr>
          <w:p w14:paraId="627C7284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689" w:type="pct"/>
            <w:vMerge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5B421754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30" w:type="pct"/>
            <w:shd w:val="clear" w:color="auto" w:fill="D9D9D9"/>
            <w:vAlign w:val="center"/>
          </w:tcPr>
          <w:p w14:paraId="1185E881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2289" w:type="pct"/>
            <w:vMerge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5935616C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</w:tr>
      <w:tr w:rsidR="008C5C8F" w:rsidRPr="008C5C8F" w14:paraId="2836C5EC" w14:textId="77777777" w:rsidTr="007666C4">
        <w:trPr>
          <w:trHeight w:val="415"/>
        </w:trPr>
        <w:tc>
          <w:tcPr>
            <w:tcW w:w="7" w:type="pct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A02B42" w14:textId="77777777" w:rsidR="008C5C8F" w:rsidRPr="008C5C8F" w:rsidRDefault="008C5C8F" w:rsidP="008C5C8F">
            <w:pPr>
              <w:spacing w:after="0" w:line="276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7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6A8339A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3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D096BA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652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6333A1C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490429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689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317762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BD9FF3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2289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3AE13B4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</w:tr>
      <w:tr w:rsidR="008C5C8F" w:rsidRPr="008C5C8F" w14:paraId="1363B720" w14:textId="77777777" w:rsidTr="007666C4">
        <w:trPr>
          <w:trHeight w:val="265"/>
        </w:trPr>
        <w:tc>
          <w:tcPr>
            <w:tcW w:w="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3A6EE" w14:textId="77777777" w:rsidR="008C5C8F" w:rsidRPr="008C5C8F" w:rsidRDefault="008C5C8F" w:rsidP="008C5C8F">
            <w:pPr>
              <w:spacing w:after="0" w:line="276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7DB25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Wynagrodzenie Asystenta osoby niepełnosprawnej</w:t>
            </w:r>
          </w:p>
        </w:tc>
        <w:tc>
          <w:tcPr>
            <w:tcW w:w="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ED663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3536D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godzina</w:t>
            </w:r>
          </w:p>
        </w:tc>
        <w:tc>
          <w:tcPr>
            <w:tcW w:w="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47707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74040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50 zł/godz.</w:t>
            </w:r>
          </w:p>
        </w:tc>
        <w:tc>
          <w:tcPr>
            <w:tcW w:w="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8C911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22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667A4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Warunkiem zatrudnienia AON jest ukończone kształcenie w zawodzie asystenta osoby niepełnosprawnej zgodnie z rozporządzeniem</w:t>
            </w:r>
          </w:p>
          <w:p w14:paraId="6E02EFF1" w14:textId="21937A2B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Ministra Edukacji Narodowej z dnia 7 lutego 2012 r. </w:t>
            </w:r>
            <w:r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br/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w sprawie podstawy programowej kształcenia w zawodach (Dz. U. poz. 184 ze zm.) Koszt oszacowany 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 xml:space="preserve">na podstawie dokumentu: Program „Asystent osobisty osoby 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br/>
              <w:t>z niepełnosprawnością” dla Jednostek Samorządu</w:t>
            </w:r>
          </w:p>
          <w:p w14:paraId="01BBEA04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Terytorialnego – edycja 2024</w:t>
            </w:r>
          </w:p>
          <w:p w14:paraId="210D3980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</w:tr>
      <w:tr w:rsidR="008C5C8F" w:rsidRPr="008C5C8F" w14:paraId="5E60756B" w14:textId="77777777" w:rsidTr="007666C4">
        <w:trPr>
          <w:trHeight w:val="265"/>
        </w:trPr>
        <w:tc>
          <w:tcPr>
            <w:tcW w:w="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50603" w14:textId="77777777" w:rsidR="008C5C8F" w:rsidRPr="008C5C8F" w:rsidRDefault="008C5C8F" w:rsidP="008C5C8F">
            <w:pPr>
              <w:spacing w:after="0" w:line="276" w:lineRule="auto"/>
              <w:rPr>
                <w:rFonts w:ascii="Book Antiqua" w:eastAsia="Times New Roman" w:hAnsi="Book Antiqu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4948D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  <w:p w14:paraId="7273E1FA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Wynagrodzenie Opiekuna osób potrzebujących wsparcia w codziennym funkcjonowaniu</w:t>
            </w:r>
          </w:p>
        </w:tc>
        <w:tc>
          <w:tcPr>
            <w:tcW w:w="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11E4B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4016E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  <w:p w14:paraId="2917BF2A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godzina</w:t>
            </w:r>
          </w:p>
        </w:tc>
        <w:tc>
          <w:tcPr>
            <w:tcW w:w="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D7ECF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688CB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  <w:p w14:paraId="427A9310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50 zł/godz.</w:t>
            </w:r>
          </w:p>
        </w:tc>
        <w:tc>
          <w:tcPr>
            <w:tcW w:w="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892F1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2289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A285B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  <w:p w14:paraId="054AE7D4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Usługa opiekuńcza jest świadczona przez:</w:t>
            </w:r>
          </w:p>
          <w:p w14:paraId="25AC6F68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a) osobę, która posiada kwalifikacje do wykonywania jednego z zawodów: opiekun środowiskowy, AON, pielęgniarz, opiekun osoby starszej, opiekun medyczny, opiekun kwalifikowany w domu pomocy społecznej, a także ukończyła szkolenie w zakresie udzielania pierwszej pomocy lub pomocy przedmedycznej;</w:t>
            </w:r>
          </w:p>
          <w:p w14:paraId="633AB5E1" w14:textId="0066C738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b) osobę, która posiada doświadczenie w realizacji usług opiekuńczych, </w:t>
            </w:r>
            <w:r w:rsidR="00E22536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 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w tym zawodowe, </w:t>
            </w:r>
            <w:proofErr w:type="spellStart"/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wolontariackie</w:t>
            </w:r>
            <w:proofErr w:type="spellEnd"/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 lub osobiste wynikające z pełnienia roli opiekuna faktycznego i odbyła minimum 80 - godzinne szkolenie z zakresu realizowanej usługi. Stawkę przyjęto na podstawie rozeznania internetowego – stawkę uśredniono</w:t>
            </w:r>
          </w:p>
        </w:tc>
      </w:tr>
      <w:tr w:rsidR="008C5C8F" w:rsidRPr="008C5C8F" w14:paraId="26CE98A9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45"/>
        </w:trPr>
        <w:tc>
          <w:tcPr>
            <w:tcW w:w="1273" w:type="pct"/>
            <w:gridSpan w:val="2"/>
            <w:shd w:val="clear" w:color="auto" w:fill="auto"/>
          </w:tcPr>
          <w:p w14:paraId="35856D4D" w14:textId="539B7DAD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bookmarkStart w:id="0" w:name="page10"/>
            <w:bookmarkEnd w:id="0"/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 xml:space="preserve">Wynagrodzenie kierownika klubu </w:t>
            </w:r>
            <w:r w:rsidR="00E22536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młodzieżowego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 / animatora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5ABEFE3C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godzina</w:t>
            </w:r>
          </w:p>
        </w:tc>
        <w:tc>
          <w:tcPr>
            <w:tcW w:w="719" w:type="pct"/>
            <w:gridSpan w:val="2"/>
            <w:shd w:val="clear" w:color="auto" w:fill="auto"/>
          </w:tcPr>
          <w:p w14:paraId="6C2C26C6" w14:textId="77777777" w:rsidR="008C5C8F" w:rsidRPr="008C5C8F" w:rsidRDefault="008C5C8F" w:rsidP="008C5C8F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150,00 zł</w:t>
            </w:r>
          </w:p>
        </w:tc>
        <w:tc>
          <w:tcPr>
            <w:tcW w:w="2319" w:type="pct"/>
            <w:gridSpan w:val="2"/>
            <w:shd w:val="clear" w:color="auto" w:fill="auto"/>
          </w:tcPr>
          <w:p w14:paraId="74D8781B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Wydatek kwalifikowalny, o ile specjalista posiada wykształcenie/kwalifikacje lub doświadczenie umożliwiające prowadzenie danego wsparcia – weryfikacja na podstawie CV lub dokumentu potwierdzającego kwalifikacje lub kompetencje</w:t>
            </w:r>
          </w:p>
          <w:p w14:paraId="2F849F84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zawodowe np. certyfikatu, dyplomu, zaświadczenia, świadectwa lub innego dokumentu.</w:t>
            </w:r>
          </w:p>
          <w:p w14:paraId="0DE86099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Koszt oszacowany zgodnie z otrzymaną ofertą na realizację zajęć</w:t>
            </w:r>
          </w:p>
        </w:tc>
      </w:tr>
      <w:tr w:rsidR="008C5C8F" w:rsidRPr="008C5C8F" w14:paraId="0D7E2B6B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75"/>
        </w:trPr>
        <w:tc>
          <w:tcPr>
            <w:tcW w:w="1273" w:type="pct"/>
            <w:gridSpan w:val="2"/>
            <w:shd w:val="clear" w:color="auto" w:fill="auto"/>
          </w:tcPr>
          <w:p w14:paraId="5EC36562" w14:textId="4CF8ADEC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Wynagrodzenie trenerów prowadzących zajęcia / warsztaty / treningi w zakresach wsparcia określonych w  standardzie klubu </w:t>
            </w:r>
            <w:r w:rsidR="00E22536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młodzieżowego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 gdzie indziej nie wyszczególnione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09154037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godzina</w:t>
            </w:r>
          </w:p>
        </w:tc>
        <w:tc>
          <w:tcPr>
            <w:tcW w:w="719" w:type="pct"/>
            <w:gridSpan w:val="2"/>
            <w:shd w:val="clear" w:color="auto" w:fill="auto"/>
          </w:tcPr>
          <w:p w14:paraId="0F4D28C5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170,00 zł</w:t>
            </w:r>
          </w:p>
        </w:tc>
        <w:tc>
          <w:tcPr>
            <w:tcW w:w="2319" w:type="pct"/>
            <w:gridSpan w:val="2"/>
            <w:vMerge w:val="restart"/>
            <w:shd w:val="clear" w:color="auto" w:fill="auto"/>
          </w:tcPr>
          <w:p w14:paraId="1E21B62E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Wydatek kwalifikowalny, o ile specjalista posiada wykształcenie/kwalifikacje lub doświadczenie umożliwiające prowadzenie danego wsparcia – weryfikacja na podstawie CV lub dokumentu potwierdzającego kwalifikacje lub kompetencje</w:t>
            </w:r>
          </w:p>
          <w:p w14:paraId="0E56C76C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zawodowe np. certyfikatu, dyplomu, zaświadczenia, świadectwa lub innego dokumentu.</w:t>
            </w:r>
          </w:p>
          <w:p w14:paraId="322D435E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Stawkę przyjęto na podstawie rozeznania telefonicznego  – stawkę uśredniono</w:t>
            </w:r>
          </w:p>
        </w:tc>
      </w:tr>
      <w:tr w:rsidR="008C5C8F" w:rsidRPr="008C5C8F" w14:paraId="015B4BA9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903"/>
        </w:trPr>
        <w:tc>
          <w:tcPr>
            <w:tcW w:w="1273" w:type="pct"/>
            <w:gridSpan w:val="2"/>
            <w:shd w:val="clear" w:color="auto" w:fill="auto"/>
          </w:tcPr>
          <w:p w14:paraId="3C54592D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Wynagrodzenie trenerów prowadzących zajęcia sportowe / rekreacyjne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0AEDDAC2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godzina</w:t>
            </w:r>
          </w:p>
        </w:tc>
        <w:tc>
          <w:tcPr>
            <w:tcW w:w="719" w:type="pct"/>
            <w:gridSpan w:val="2"/>
            <w:shd w:val="clear" w:color="auto" w:fill="auto"/>
          </w:tcPr>
          <w:p w14:paraId="61EDFBEC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150,00 zł</w:t>
            </w:r>
          </w:p>
        </w:tc>
        <w:tc>
          <w:tcPr>
            <w:tcW w:w="2319" w:type="pct"/>
            <w:gridSpan w:val="2"/>
            <w:vMerge/>
            <w:shd w:val="clear" w:color="auto" w:fill="auto"/>
          </w:tcPr>
          <w:p w14:paraId="01E67676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</w:tr>
      <w:tr w:rsidR="008C5C8F" w:rsidRPr="008C5C8F" w14:paraId="688F8AE2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75"/>
        </w:trPr>
        <w:tc>
          <w:tcPr>
            <w:tcW w:w="1273" w:type="pct"/>
            <w:gridSpan w:val="2"/>
            <w:shd w:val="clear" w:color="auto" w:fill="auto"/>
          </w:tcPr>
          <w:p w14:paraId="26724E1E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Wynagrodzenie specjalisty prowadzącego poradnictwo psychologiczne indywidualne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0A2B9675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godzina</w:t>
            </w:r>
          </w:p>
        </w:tc>
        <w:tc>
          <w:tcPr>
            <w:tcW w:w="719" w:type="pct"/>
            <w:gridSpan w:val="2"/>
            <w:shd w:val="clear" w:color="auto" w:fill="auto"/>
          </w:tcPr>
          <w:p w14:paraId="4537CABA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200,00 zł</w:t>
            </w:r>
          </w:p>
        </w:tc>
        <w:tc>
          <w:tcPr>
            <w:tcW w:w="2319" w:type="pct"/>
            <w:gridSpan w:val="2"/>
            <w:shd w:val="clear" w:color="auto" w:fill="auto"/>
          </w:tcPr>
          <w:p w14:paraId="086916F4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Wydatek kwalifikowalny, o ile specjalista posiada kwalifikacje umożliwiające prowadzenie danego wsparcia – weryfikacja na podstawie CV lub dokumentu potwierdzającego kwalifikacje lub kompetencje zawodowe np. certyfikatu, dyplomu, zaświadczenia, świadectwa lub innego dokumentu.</w:t>
            </w:r>
          </w:p>
          <w:p w14:paraId="42A25479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Stawkę przyjęto na podstawie rozeznania internetowego ( </w:t>
            </w:r>
            <w:proofErr w:type="spellStart"/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printscreen</w:t>
            </w:r>
            <w:proofErr w:type="spellEnd"/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)</w:t>
            </w:r>
          </w:p>
        </w:tc>
      </w:tr>
      <w:tr w:rsidR="008C5C8F" w:rsidRPr="008C5C8F" w14:paraId="16A75A08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92"/>
        </w:trPr>
        <w:tc>
          <w:tcPr>
            <w:tcW w:w="1273" w:type="pct"/>
            <w:gridSpan w:val="2"/>
            <w:shd w:val="clear" w:color="auto" w:fill="auto"/>
          </w:tcPr>
          <w:p w14:paraId="65CFF3A4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Wynagrodzenie specjalisty prowadzącego psychologiczne warsztaty grupowe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75C2B7DC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godzina</w:t>
            </w:r>
          </w:p>
        </w:tc>
        <w:tc>
          <w:tcPr>
            <w:tcW w:w="719" w:type="pct"/>
            <w:gridSpan w:val="2"/>
            <w:shd w:val="clear" w:color="auto" w:fill="auto"/>
          </w:tcPr>
          <w:p w14:paraId="4A147898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300,00 zł</w:t>
            </w:r>
          </w:p>
        </w:tc>
        <w:tc>
          <w:tcPr>
            <w:tcW w:w="2319" w:type="pct"/>
            <w:gridSpan w:val="2"/>
            <w:shd w:val="clear" w:color="auto" w:fill="auto"/>
          </w:tcPr>
          <w:p w14:paraId="0E633ADC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Wydatek kwalifikowalny, o ile specjalista posiada kwalifikacje umożliwiające prowadzenie danego wsparcia – weryfikacja na podstawie CV lub dokumentu potwierdzającego kwalifikacje lub kompetencje zawodowe np. certyfikatu, dyplomu, zaświadczenia, świadectwa lub innego dokumentu.</w:t>
            </w:r>
          </w:p>
          <w:p w14:paraId="0FD5C305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Stawkę przyjęto na podstawie rozeznania internetowego ( </w:t>
            </w:r>
            <w:proofErr w:type="spellStart"/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printscreen</w:t>
            </w:r>
            <w:proofErr w:type="spellEnd"/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)</w:t>
            </w:r>
          </w:p>
        </w:tc>
      </w:tr>
      <w:tr w:rsidR="008C5C8F" w:rsidRPr="008C5C8F" w14:paraId="49C54627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92"/>
        </w:trPr>
        <w:tc>
          <w:tcPr>
            <w:tcW w:w="1273" w:type="pct"/>
            <w:gridSpan w:val="2"/>
            <w:shd w:val="clear" w:color="auto" w:fill="auto"/>
          </w:tcPr>
          <w:p w14:paraId="2D3595C3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Koszt cateringu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7BBF1DCC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osoba</w:t>
            </w:r>
          </w:p>
        </w:tc>
        <w:tc>
          <w:tcPr>
            <w:tcW w:w="719" w:type="pct"/>
            <w:gridSpan w:val="2"/>
            <w:shd w:val="clear" w:color="auto" w:fill="auto"/>
          </w:tcPr>
          <w:p w14:paraId="6DE711A5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33,00</w:t>
            </w:r>
          </w:p>
        </w:tc>
        <w:tc>
          <w:tcPr>
            <w:tcW w:w="2319" w:type="pct"/>
            <w:gridSpan w:val="2"/>
            <w:shd w:val="clear" w:color="auto" w:fill="auto"/>
          </w:tcPr>
          <w:p w14:paraId="549CCE91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Maksymalny koszt cateringu to 33zł/osobę.</w:t>
            </w:r>
          </w:p>
          <w:p w14:paraId="1EAD729C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Zakres: standardowa przerwa kawowa (kawa, herbata, woda, soki, ciastka/ciasto, kanapki/owoce/przekąski).</w:t>
            </w:r>
          </w:p>
          <w:p w14:paraId="7F128DA7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Cena rynkowa powinna być uzależniona od rodzaju oferowanej usługi i jest niższa, jeśli finansowany jest mniejszy zakres usługi (np. kawa, herbata, woda, mleko, cukier cytryna bez drobnych lub słodkich przekąsek).</w:t>
            </w:r>
          </w:p>
          <w:p w14:paraId="05D14EB6" w14:textId="39CBEA98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Stawka oszacowana na podstawie zestawienia standardu i cen rynkowych dla programu Fundusze Europejskie dla Rozwoju Społecznego 2021-2027</w:t>
            </w:r>
          </w:p>
        </w:tc>
      </w:tr>
      <w:tr w:rsidR="008C5C8F" w:rsidRPr="008C5C8F" w14:paraId="6529193C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75"/>
        </w:trPr>
        <w:tc>
          <w:tcPr>
            <w:tcW w:w="1273" w:type="pct"/>
            <w:gridSpan w:val="2"/>
            <w:shd w:val="clear" w:color="auto" w:fill="auto"/>
          </w:tcPr>
          <w:p w14:paraId="30211C30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Koszt obiadu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01432500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osoba</w:t>
            </w:r>
          </w:p>
        </w:tc>
        <w:tc>
          <w:tcPr>
            <w:tcW w:w="719" w:type="pct"/>
            <w:gridSpan w:val="2"/>
            <w:shd w:val="clear" w:color="auto" w:fill="auto"/>
          </w:tcPr>
          <w:p w14:paraId="07EF1006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60,00 zł</w:t>
            </w:r>
          </w:p>
        </w:tc>
        <w:tc>
          <w:tcPr>
            <w:tcW w:w="2319" w:type="pct"/>
            <w:gridSpan w:val="2"/>
            <w:shd w:val="clear" w:color="auto" w:fill="auto"/>
          </w:tcPr>
          <w:p w14:paraId="7946714C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Maksymalny koszt obiadu to 60 zł/osobę.</w:t>
            </w:r>
          </w:p>
          <w:p w14:paraId="1E756204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  <w:t>Możliwość kwalifikowania wydatku jest ograniczona do działań, w których wsparcie dla tej samej grupy osób w danym dniu trwa nie krócej niż 4 godziny.</w:t>
            </w:r>
          </w:p>
          <w:p w14:paraId="183DF6D1" w14:textId="7AF23AEF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Cena rynkowa powinna być uzależniona od rodzaju oferowanej usługi </w:t>
            </w:r>
            <w:r w:rsidR="00E22536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 i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 jest niższa, jeśli finansowany jest mniejszy zakres usługi (np. obiad składający</w:t>
            </w:r>
          </w:p>
          <w:p w14:paraId="1C326EB8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się tylko z drugiego dania).</w:t>
            </w:r>
          </w:p>
          <w:p w14:paraId="55CE4490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Stawka oszacowana na podstawie Zestawienie standardu i cen rynkowych 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br/>
              <w:t>dla programu Fundusze Europejskie dla Rozwoju Społecznego 2021-2027</w:t>
            </w:r>
          </w:p>
        </w:tc>
      </w:tr>
      <w:tr w:rsidR="008C5C8F" w:rsidRPr="008C5C8F" w14:paraId="0C0AF107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83"/>
        </w:trPr>
        <w:tc>
          <w:tcPr>
            <w:tcW w:w="1273" w:type="pct"/>
            <w:gridSpan w:val="2"/>
            <w:shd w:val="clear" w:color="auto" w:fill="auto"/>
          </w:tcPr>
          <w:p w14:paraId="74B9F33A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Ubezpieczenia grupowe uczestników NNW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1CB4EF82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osoba</w:t>
            </w:r>
          </w:p>
        </w:tc>
        <w:tc>
          <w:tcPr>
            <w:tcW w:w="719" w:type="pct"/>
            <w:gridSpan w:val="2"/>
            <w:shd w:val="clear" w:color="auto" w:fill="auto"/>
          </w:tcPr>
          <w:p w14:paraId="64551661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10,00</w:t>
            </w:r>
          </w:p>
        </w:tc>
        <w:tc>
          <w:tcPr>
            <w:tcW w:w="2319" w:type="pct"/>
            <w:gridSpan w:val="2"/>
            <w:shd w:val="clear" w:color="auto" w:fill="auto"/>
          </w:tcPr>
          <w:p w14:paraId="2F48845F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Na podstawie kalkulatora internetowego ( suma ubezpieczenia 10 000 zł )</w:t>
            </w:r>
          </w:p>
        </w:tc>
      </w:tr>
      <w:tr w:rsidR="008C5C8F" w:rsidRPr="008C5C8F" w14:paraId="6B564BF2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913"/>
        </w:trPr>
        <w:tc>
          <w:tcPr>
            <w:tcW w:w="1273" w:type="pct"/>
            <w:gridSpan w:val="2"/>
            <w:shd w:val="clear" w:color="auto" w:fill="auto"/>
          </w:tcPr>
          <w:p w14:paraId="1ACD5C15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Wynajem Sali szkoleniowej/komputerowej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5352507E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godzina</w:t>
            </w:r>
          </w:p>
        </w:tc>
        <w:tc>
          <w:tcPr>
            <w:tcW w:w="719" w:type="pct"/>
            <w:gridSpan w:val="2"/>
            <w:shd w:val="clear" w:color="auto" w:fill="auto"/>
          </w:tcPr>
          <w:p w14:paraId="17E6DAD3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80,00 zł</w:t>
            </w:r>
          </w:p>
        </w:tc>
        <w:tc>
          <w:tcPr>
            <w:tcW w:w="2319" w:type="pct"/>
            <w:gridSpan w:val="2"/>
            <w:shd w:val="clear" w:color="auto" w:fill="auto"/>
          </w:tcPr>
          <w:p w14:paraId="0E659D75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Cena uzależniona od liczby osób, rodzaju spotkania i zakresu wsparcia. Stawkę przyjęto na podstawie porównania cenowego ofert internetowych (cenników) oraz rozeznania telefonicznego</w:t>
            </w:r>
          </w:p>
        </w:tc>
      </w:tr>
      <w:tr w:rsidR="008C5C8F" w:rsidRPr="008C5C8F" w14:paraId="56DD5A7D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976"/>
        </w:trPr>
        <w:tc>
          <w:tcPr>
            <w:tcW w:w="1273" w:type="pct"/>
            <w:gridSpan w:val="2"/>
            <w:shd w:val="clear" w:color="auto" w:fill="auto"/>
          </w:tcPr>
          <w:p w14:paraId="68AC76D3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Materiały edukacyjne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3B577CDB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Zestaw</w:t>
            </w:r>
          </w:p>
        </w:tc>
        <w:tc>
          <w:tcPr>
            <w:tcW w:w="719" w:type="pct"/>
            <w:gridSpan w:val="2"/>
            <w:shd w:val="clear" w:color="auto" w:fill="auto"/>
          </w:tcPr>
          <w:p w14:paraId="265DAF3B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150,00 zł</w:t>
            </w:r>
          </w:p>
        </w:tc>
        <w:tc>
          <w:tcPr>
            <w:tcW w:w="2319" w:type="pct"/>
            <w:gridSpan w:val="2"/>
            <w:shd w:val="clear" w:color="auto" w:fill="auto"/>
          </w:tcPr>
          <w:p w14:paraId="731843D2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Zestaw, np. książka, ćwiczenia, gry planszowe</w:t>
            </w:r>
          </w:p>
          <w:p w14:paraId="04EEC3E2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Stawka oszacowana na podstawie obowiązujących cen w sklepach internetowych</w:t>
            </w:r>
          </w:p>
        </w:tc>
      </w:tr>
      <w:tr w:rsidR="008C5C8F" w:rsidRPr="008C5C8F" w14:paraId="6E1161CF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41"/>
        </w:trPr>
        <w:tc>
          <w:tcPr>
            <w:tcW w:w="1273" w:type="pct"/>
            <w:gridSpan w:val="2"/>
            <w:shd w:val="clear" w:color="auto" w:fill="auto"/>
          </w:tcPr>
          <w:p w14:paraId="04E55FC1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Materiały szkoleniowe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6E9729A1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Zestaw/osoba</w:t>
            </w:r>
          </w:p>
        </w:tc>
        <w:tc>
          <w:tcPr>
            <w:tcW w:w="719" w:type="pct"/>
            <w:gridSpan w:val="2"/>
            <w:shd w:val="clear" w:color="auto" w:fill="auto"/>
          </w:tcPr>
          <w:p w14:paraId="3825005F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30,00 zł</w:t>
            </w:r>
          </w:p>
        </w:tc>
        <w:tc>
          <w:tcPr>
            <w:tcW w:w="2319" w:type="pct"/>
            <w:gridSpan w:val="2"/>
            <w:shd w:val="clear" w:color="auto" w:fill="auto"/>
          </w:tcPr>
          <w:p w14:paraId="7E8C1227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Zestaw, w tym m.in. teczka, notes, długopis, wydruk prezentacji</w:t>
            </w:r>
          </w:p>
          <w:p w14:paraId="5EA1539C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Stawka oszacowana na podstawie obowiązujących cen w sklepach internetowych</w:t>
            </w:r>
          </w:p>
        </w:tc>
      </w:tr>
      <w:tr w:rsidR="008C5C8F" w:rsidRPr="008C5C8F" w14:paraId="37FFD3A8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75"/>
        </w:trPr>
        <w:tc>
          <w:tcPr>
            <w:tcW w:w="1273" w:type="pct"/>
            <w:gridSpan w:val="2"/>
            <w:shd w:val="clear" w:color="auto" w:fill="auto"/>
          </w:tcPr>
          <w:p w14:paraId="2BE22FBF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Materiały warsztatowe/animacyjne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1F4E7B72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Zestaw/osoba</w:t>
            </w:r>
          </w:p>
        </w:tc>
        <w:tc>
          <w:tcPr>
            <w:tcW w:w="719" w:type="pct"/>
            <w:gridSpan w:val="2"/>
            <w:shd w:val="clear" w:color="auto" w:fill="auto"/>
          </w:tcPr>
          <w:p w14:paraId="20E27BB7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100,00 zł</w:t>
            </w:r>
          </w:p>
        </w:tc>
        <w:tc>
          <w:tcPr>
            <w:tcW w:w="2319" w:type="pct"/>
            <w:gridSpan w:val="2"/>
            <w:shd w:val="clear" w:color="auto" w:fill="auto"/>
          </w:tcPr>
          <w:p w14:paraId="2BB0D0E8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Zestaw, w tym: materiały na warsztaty rękodzielnicze, malarskie, artystyczne,</w:t>
            </w:r>
          </w:p>
          <w:p w14:paraId="394B1B50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fotograficzne, taneczne, kulinarne itp.</w:t>
            </w:r>
          </w:p>
          <w:p w14:paraId="1163AD66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Stawka oszacowana na podstawie obowiązujących cen w sklepach internetowych</w:t>
            </w:r>
          </w:p>
        </w:tc>
      </w:tr>
      <w:tr w:rsidR="008C5C8F" w:rsidRPr="008C5C8F" w14:paraId="559C178E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75"/>
        </w:trPr>
        <w:tc>
          <w:tcPr>
            <w:tcW w:w="1273" w:type="pct"/>
            <w:gridSpan w:val="2"/>
            <w:shd w:val="clear" w:color="auto" w:fill="auto"/>
          </w:tcPr>
          <w:p w14:paraId="6C67B74F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Nocleg ze śniadaniem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61F04563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proofErr w:type="spellStart"/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Osobodoba</w:t>
            </w:r>
            <w:proofErr w:type="spellEnd"/>
          </w:p>
        </w:tc>
        <w:tc>
          <w:tcPr>
            <w:tcW w:w="719" w:type="pct"/>
            <w:gridSpan w:val="2"/>
            <w:shd w:val="clear" w:color="auto" w:fill="auto"/>
          </w:tcPr>
          <w:p w14:paraId="59A2D230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hotel o maksymalnym standardzie 3*: - 290 PLN/1 nocleg/1 osoba hotel o niższym standardzie niż 3* oraz pensjonat, motel itd.:- 170 PLN/1 nocleg/1 osoba</w:t>
            </w:r>
          </w:p>
          <w:p w14:paraId="56665281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2319" w:type="pct"/>
            <w:gridSpan w:val="2"/>
            <w:shd w:val="clear" w:color="auto" w:fill="auto"/>
          </w:tcPr>
          <w:p w14:paraId="2E77FB40" w14:textId="77777777" w:rsidR="008C5C8F" w:rsidRPr="008C5C8F" w:rsidRDefault="008C5C8F" w:rsidP="008C5C8F">
            <w:pPr>
              <w:numPr>
                <w:ilvl w:val="0"/>
                <w:numId w:val="13"/>
              </w:numPr>
              <w:spacing w:after="0" w:line="276" w:lineRule="auto"/>
              <w:ind w:left="397"/>
              <w:contextualSpacing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- wydatek kwalifikowalny, o ile jest to uzasadnione specyfiką realizowanego projektu;</w:t>
            </w:r>
          </w:p>
          <w:p w14:paraId="4BEE9EAA" w14:textId="77777777" w:rsidR="008C5C8F" w:rsidRPr="008C5C8F" w:rsidRDefault="008C5C8F" w:rsidP="008C5C8F">
            <w:pPr>
              <w:numPr>
                <w:ilvl w:val="0"/>
                <w:numId w:val="13"/>
              </w:numPr>
              <w:spacing w:after="0" w:line="276" w:lineRule="auto"/>
              <w:ind w:left="397"/>
              <w:contextualSpacing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- możliwość zagwarantowania noclegu dotyczy uczestników, 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br/>
              <w:t xml:space="preserve">którzy posiadają miejsce zamieszkania w innej miejscowości, 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br/>
              <w:t>niż miejscowość w której odbywa się szkolenie;</w:t>
            </w:r>
          </w:p>
          <w:p w14:paraId="1C49C67D" w14:textId="77777777" w:rsidR="008C5C8F" w:rsidRPr="008C5C8F" w:rsidRDefault="008C5C8F" w:rsidP="008C5C8F">
            <w:pPr>
              <w:numPr>
                <w:ilvl w:val="0"/>
                <w:numId w:val="13"/>
              </w:numPr>
              <w:spacing w:after="0" w:line="276" w:lineRule="auto"/>
              <w:ind w:left="397"/>
              <w:contextualSpacing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wydatek kwalifikowalny o ile wsparcie (np. szkolenie, spotkanie) 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br/>
              <w:t>dla tej samej grupy osób trwa co najmniej dwa dni;</w:t>
            </w:r>
          </w:p>
          <w:p w14:paraId="55505E02" w14:textId="77777777" w:rsidR="008C5C8F" w:rsidRPr="008C5C8F" w:rsidRDefault="008C5C8F" w:rsidP="008C5C8F">
            <w:pPr>
              <w:numPr>
                <w:ilvl w:val="0"/>
                <w:numId w:val="13"/>
              </w:numPr>
              <w:spacing w:after="0" w:line="276" w:lineRule="auto"/>
              <w:ind w:left="397"/>
              <w:contextualSpacing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w przypadku wsparcia trwającego nie dłużej niż jeden dzień wydatek kwalifikowalny w sytuacji gdy miejsce odbywania szkolenia/spotkania 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br/>
              <w:t xml:space="preserve">jest oddalone od miejsca zamieszkania osoby w nim uczestniczącej o więcej niż 50 km (droga publiczna a nie w linii prostej), a jednocześnie wsparcie zaczyna się przed godziną 9:00 lub kończy się po godzinie 17:00, chyba 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br/>
              <w:t>że nie ma dostępnego dojazdu publicznymi środkami transportu;</w:t>
            </w:r>
          </w:p>
          <w:p w14:paraId="07336033" w14:textId="77777777" w:rsidR="008C5C8F" w:rsidRPr="008C5C8F" w:rsidRDefault="008C5C8F" w:rsidP="008C5C8F">
            <w:pPr>
              <w:numPr>
                <w:ilvl w:val="0"/>
                <w:numId w:val="13"/>
              </w:numPr>
              <w:spacing w:after="0" w:line="276" w:lineRule="auto"/>
              <w:ind w:left="397"/>
              <w:contextualSpacing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 xml:space="preserve">obejmuje nocleg w miejscu noclegowym o standardzie maksymalnie 3* 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br/>
              <w:t>wraz ze śniadaniem przy czym istnieje możliwość szerszego zakresu usługi, o ile mieści się w określonej cenie rynkowej i jest to uzasadnione celami projektu;</w:t>
            </w:r>
          </w:p>
          <w:p w14:paraId="58FE4677" w14:textId="77777777" w:rsidR="008C5C8F" w:rsidRPr="008C5C8F" w:rsidRDefault="008C5C8F" w:rsidP="008C5C8F">
            <w:pPr>
              <w:numPr>
                <w:ilvl w:val="0"/>
                <w:numId w:val="13"/>
              </w:numPr>
              <w:spacing w:after="0" w:line="276" w:lineRule="auto"/>
              <w:ind w:left="397"/>
              <w:contextualSpacing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obejmuje nocleg, co do zasady w pokojach 2 – osobowych (nocleg 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br/>
              <w:t>w pokojach 1 – osobowych jest kwalifikowalny tylko w uzasadnionych przypadkach).</w:t>
            </w:r>
          </w:p>
          <w:p w14:paraId="2DE21714" w14:textId="77777777" w:rsidR="008C5C8F" w:rsidRPr="008C5C8F" w:rsidRDefault="008C5C8F" w:rsidP="008C5C8F">
            <w:pPr>
              <w:numPr>
                <w:ilvl w:val="0"/>
                <w:numId w:val="13"/>
              </w:numPr>
              <w:spacing w:after="0" w:line="276" w:lineRule="auto"/>
              <w:ind w:left="397"/>
              <w:contextualSpacing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Koszt oszacowany na podstawie Zestawienia standardu i cen rynkowych 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br/>
              <w:t>dla programu Fundusze Europejskie dla Rozwoju Społecznego 2021-2027 oraz cennika na podstawie porównania cenowego ofert internetowych (cenników)</w:t>
            </w:r>
          </w:p>
        </w:tc>
      </w:tr>
      <w:tr w:rsidR="008C5C8F" w:rsidRPr="008C5C8F" w14:paraId="5A6472A5" w14:textId="77777777" w:rsidTr="007666C4">
        <w:tblPrEx>
          <w:tbl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75"/>
        </w:trPr>
        <w:tc>
          <w:tcPr>
            <w:tcW w:w="1273" w:type="pct"/>
            <w:gridSpan w:val="2"/>
            <w:shd w:val="clear" w:color="auto" w:fill="auto"/>
          </w:tcPr>
          <w:p w14:paraId="604092C0" w14:textId="09415F08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 xml:space="preserve">Wyposażenie klubu </w:t>
            </w:r>
            <w:r w:rsidR="00E22536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młodzieżowego</w:t>
            </w: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 w zakresie niezbędnym do jego funkcjonowania</w:t>
            </w:r>
          </w:p>
        </w:tc>
        <w:tc>
          <w:tcPr>
            <w:tcW w:w="689" w:type="pct"/>
            <w:gridSpan w:val="2"/>
            <w:shd w:val="clear" w:color="auto" w:fill="auto"/>
          </w:tcPr>
          <w:p w14:paraId="284ACCBB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Komplet</w:t>
            </w:r>
          </w:p>
        </w:tc>
        <w:tc>
          <w:tcPr>
            <w:tcW w:w="719" w:type="pct"/>
            <w:gridSpan w:val="2"/>
            <w:shd w:val="clear" w:color="auto" w:fill="auto"/>
          </w:tcPr>
          <w:p w14:paraId="589CFADF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10 000,00 zł</w:t>
            </w:r>
          </w:p>
        </w:tc>
        <w:tc>
          <w:tcPr>
            <w:tcW w:w="2319" w:type="pct"/>
            <w:gridSpan w:val="2"/>
            <w:shd w:val="clear" w:color="auto" w:fill="auto"/>
          </w:tcPr>
          <w:p w14:paraId="19512E28" w14:textId="77777777" w:rsidR="008C5C8F" w:rsidRPr="008C5C8F" w:rsidRDefault="008C5C8F" w:rsidP="008C5C8F">
            <w:pPr>
              <w:spacing w:after="0" w:line="276" w:lineRule="auto"/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</w:pPr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LGD dopuszcza możliwość zakupów koniecznych do osiągnięcia celów projektu wynikających z wniosku o powierzenie grantu np. zakup sprzętu/urządzeń/mebli na potrzeby wyposażenia niezbędnego do realizacji wsparcia uczestników projektu, co nie stanowi cross-</w:t>
            </w:r>
            <w:proofErr w:type="spellStart"/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financingu</w:t>
            </w:r>
            <w:proofErr w:type="spellEnd"/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. Wykaz niezbędnych zakupów wyposażenia będzie określony w uzasadnieniu kosztów z podaniem cen jednostkowych mieszczących się w aktualnych cenach rynkowych. </w:t>
            </w:r>
            <w:proofErr w:type="spellStart"/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>Grantobiorca</w:t>
            </w:r>
            <w:proofErr w:type="spellEnd"/>
            <w:r w:rsidRPr="008C5C8F">
              <w:rPr>
                <w:rFonts w:ascii="Arial" w:eastAsia="Arial" w:hAnsi="Arial" w:cs="Arial"/>
                <w:kern w:val="0"/>
                <w:sz w:val="26"/>
                <w:szCs w:val="26"/>
                <w:lang w:eastAsia="pl-PL"/>
                <w14:ligatures w14:val="none"/>
              </w:rPr>
              <w:t xml:space="preserve"> powinien przedstawić ofertę/wydruk ze strony www każdego z planowanych do zakupu sprzętu</w:t>
            </w:r>
          </w:p>
        </w:tc>
      </w:tr>
    </w:tbl>
    <w:p w14:paraId="5D7B5DEF" w14:textId="77777777" w:rsidR="00C951FD" w:rsidRPr="00C951FD" w:rsidRDefault="00C951FD" w:rsidP="00C951FD">
      <w:pPr>
        <w:spacing w:before="240" w:after="240" w:line="276" w:lineRule="auto"/>
        <w:jc w:val="both"/>
        <w:rPr>
          <w:rFonts w:ascii="Arial" w:eastAsia="Arial" w:hAnsi="Arial" w:cs="Arial"/>
          <w:b/>
          <w:kern w:val="0"/>
          <w:sz w:val="26"/>
          <w:szCs w:val="26"/>
          <w:lang w:eastAsia="pl-PL"/>
          <w14:ligatures w14:val="none"/>
        </w:rPr>
      </w:pPr>
    </w:p>
    <w:sectPr w:rsidR="00C951FD" w:rsidRPr="00C951FD" w:rsidSect="00F43B8E">
      <w:headerReference w:type="default" r:id="rId7"/>
      <w:footerReference w:type="default" r:id="rId8"/>
      <w:pgSz w:w="16838" w:h="11906" w:orient="landscape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2B17" w14:textId="77777777" w:rsidR="0039142A" w:rsidRDefault="0039142A" w:rsidP="006713D4">
      <w:pPr>
        <w:spacing w:after="0" w:line="240" w:lineRule="auto"/>
      </w:pPr>
      <w:r>
        <w:separator/>
      </w:r>
    </w:p>
  </w:endnote>
  <w:endnote w:type="continuationSeparator" w:id="0">
    <w:p w14:paraId="47FC40F1" w14:textId="77777777" w:rsidR="0039142A" w:rsidRDefault="0039142A" w:rsidP="0067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6E75" w14:textId="6988D88B" w:rsidR="00066D42" w:rsidRDefault="00066D42">
    <w:pPr>
      <w:pStyle w:val="Stopka"/>
    </w:pPr>
    <w:r>
      <w:tab/>
    </w:r>
    <w:r>
      <w:tab/>
    </w:r>
    <w:r>
      <w:tab/>
    </w:r>
  </w:p>
  <w:p w14:paraId="22555678" w14:textId="41E82A62" w:rsidR="009D0681" w:rsidRDefault="00066D42">
    <w:pPr>
      <w:pStyle w:val="Stopka"/>
    </w:pPr>
    <w:r>
      <w:tab/>
    </w:r>
    <w:r>
      <w:tab/>
    </w:r>
    <w:r>
      <w:tab/>
    </w:r>
    <w:r>
      <w:tab/>
    </w:r>
    <w:r>
      <w:tab/>
    </w:r>
  </w:p>
  <w:p w14:paraId="3A37117E" w14:textId="67A80F7E" w:rsidR="009D0681" w:rsidRDefault="00066D42" w:rsidP="00066D42">
    <w:pPr>
      <w:pStyle w:val="Stopka"/>
      <w:tabs>
        <w:tab w:val="clear" w:pos="4536"/>
        <w:tab w:val="clear" w:pos="9072"/>
        <w:tab w:val="left" w:pos="109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AFB3C" w14:textId="77777777" w:rsidR="0039142A" w:rsidRDefault="0039142A" w:rsidP="006713D4">
      <w:pPr>
        <w:spacing w:after="0" w:line="240" w:lineRule="auto"/>
      </w:pPr>
      <w:r>
        <w:separator/>
      </w:r>
    </w:p>
  </w:footnote>
  <w:footnote w:type="continuationSeparator" w:id="0">
    <w:p w14:paraId="6BDC4787" w14:textId="77777777" w:rsidR="0039142A" w:rsidRDefault="0039142A" w:rsidP="0067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36CF" w14:textId="0B9DE55B" w:rsidR="006713D4" w:rsidRDefault="006713D4" w:rsidP="00C951FD">
    <w:pPr>
      <w:pStyle w:val="NormalnyWeb"/>
      <w:spacing w:before="0" w:beforeAutospacing="0" w:after="0" w:afterAutospacing="0"/>
      <w:ind w:left="-142" w:right="-23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7F2C0" wp14:editId="2D7C0A10">
              <wp:simplePos x="0" y="0"/>
              <wp:positionH relativeFrom="column">
                <wp:posOffset>6838950</wp:posOffset>
              </wp:positionH>
              <wp:positionV relativeFrom="paragraph">
                <wp:posOffset>188595</wp:posOffset>
              </wp:positionV>
              <wp:extent cx="0" cy="409575"/>
              <wp:effectExtent l="0" t="0" r="38100" b="28575"/>
              <wp:wrapNone/>
              <wp:docPr id="531708061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09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DC63BE8" id="Łącznik prosty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pt,14.85pt" to="538.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07E9CD8" wp14:editId="2D0AADF4">
          <wp:extent cx="1029153" cy="720000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15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58EF">
      <w:tab/>
    </w:r>
    <w:r>
      <w:rPr>
        <w:noProof/>
      </w:rPr>
      <w:drawing>
        <wp:inline distT="0" distB="0" distL="0" distR="0" wp14:anchorId="2F016975" wp14:editId="78F8A1F1">
          <wp:extent cx="1891525" cy="720000"/>
          <wp:effectExtent l="0" t="0" r="0" b="4445"/>
          <wp:docPr id="16900527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52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58EF">
      <w:rPr>
        <w:noProof/>
      </w:rPr>
      <w:tab/>
    </w:r>
    <w:r>
      <w:rPr>
        <w:noProof/>
      </w:rPr>
      <w:drawing>
        <wp:inline distT="0" distB="0" distL="0" distR="0" wp14:anchorId="3E79F926" wp14:editId="3C29AAEF">
          <wp:extent cx="2249492" cy="720000"/>
          <wp:effectExtent l="0" t="0" r="0" b="4445"/>
          <wp:docPr id="2014211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49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58EF">
      <w:rPr>
        <w:noProof/>
      </w:rPr>
      <w:tab/>
    </w:r>
    <w:r w:rsidR="00C658EF">
      <w:rPr>
        <w:noProof/>
      </w:rPr>
      <w:tab/>
    </w:r>
    <w:r>
      <w:rPr>
        <w:noProof/>
      </w:rPr>
      <w:drawing>
        <wp:inline distT="0" distB="0" distL="0" distR="0" wp14:anchorId="498DDFD7" wp14:editId="76648A47">
          <wp:extent cx="1338305" cy="720000"/>
          <wp:effectExtent l="0" t="0" r="0" b="4445"/>
          <wp:docPr id="180008149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30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DB127F8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3352255A"/>
    <w:lvl w:ilvl="0" w:tplc="FFFFFFFF">
      <w:start w:val="3"/>
      <w:numFmt w:val="lowerLetter"/>
      <w:lvlText w:val="%1)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109CF92E"/>
    <w:lvl w:ilvl="0" w:tplc="FFFFFFFF">
      <w:start w:val="1"/>
      <w:numFmt w:val="decimal"/>
      <w:lvlText w:val="%1"/>
      <w:lvlJc w:val="left"/>
    </w:lvl>
    <w:lvl w:ilvl="1" w:tplc="FFFFFFFF">
      <w:start w:val="35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C7E6A07"/>
    <w:multiLevelType w:val="hybridMultilevel"/>
    <w:tmpl w:val="7D6E5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E6884"/>
    <w:multiLevelType w:val="hybridMultilevel"/>
    <w:tmpl w:val="CA3AC99E"/>
    <w:lvl w:ilvl="0" w:tplc="F412FE2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5457E"/>
    <w:multiLevelType w:val="hybridMultilevel"/>
    <w:tmpl w:val="8A50A966"/>
    <w:lvl w:ilvl="0" w:tplc="F412FE2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42E1"/>
    <w:multiLevelType w:val="hybridMultilevel"/>
    <w:tmpl w:val="C526F962"/>
    <w:lvl w:ilvl="0" w:tplc="F412FE2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64CBD"/>
    <w:multiLevelType w:val="hybridMultilevel"/>
    <w:tmpl w:val="617427DE"/>
    <w:lvl w:ilvl="0" w:tplc="8EF61972">
      <w:start w:val="7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458949AC"/>
    <w:multiLevelType w:val="hybridMultilevel"/>
    <w:tmpl w:val="32CE5A48"/>
    <w:lvl w:ilvl="0" w:tplc="F412FE20">
      <w:start w:val="1"/>
      <w:numFmt w:val="bullet"/>
      <w:lvlText w:val="­"/>
      <w:lvlJc w:val="left"/>
      <w:pPr>
        <w:ind w:left="55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1" w15:restartNumberingAfterBreak="0">
    <w:nsid w:val="5F841AD0"/>
    <w:multiLevelType w:val="hybridMultilevel"/>
    <w:tmpl w:val="4E38355C"/>
    <w:lvl w:ilvl="0" w:tplc="1BD4D560">
      <w:start w:val="1"/>
      <w:numFmt w:val="lowerLetter"/>
      <w:lvlText w:val="%1."/>
      <w:lvlJc w:val="left"/>
      <w:pPr>
        <w:ind w:left="0" w:firstLine="34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6C262C4A"/>
    <w:multiLevelType w:val="hybridMultilevel"/>
    <w:tmpl w:val="BBCAE3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10D02"/>
    <w:multiLevelType w:val="hybridMultilevel"/>
    <w:tmpl w:val="F800CE14"/>
    <w:lvl w:ilvl="0" w:tplc="71FC32B0">
      <w:start w:val="1"/>
      <w:numFmt w:val="lowerLetter"/>
      <w:lvlText w:val="%1."/>
      <w:lvlJc w:val="left"/>
      <w:pPr>
        <w:ind w:left="340" w:firstLine="2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77E84660"/>
    <w:multiLevelType w:val="hybridMultilevel"/>
    <w:tmpl w:val="63BC7CCA"/>
    <w:lvl w:ilvl="0" w:tplc="4AC00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13"/>
  </w:num>
  <w:num w:numId="12">
    <w:abstractNumId w:val="11"/>
  </w:num>
  <w:num w:numId="13">
    <w:abstractNumId w:val="6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4"/>
    <w:rsid w:val="00066D42"/>
    <w:rsid w:val="002617A7"/>
    <w:rsid w:val="00352257"/>
    <w:rsid w:val="0039142A"/>
    <w:rsid w:val="0067008F"/>
    <w:rsid w:val="006713D4"/>
    <w:rsid w:val="006C4B7B"/>
    <w:rsid w:val="006E5150"/>
    <w:rsid w:val="00732485"/>
    <w:rsid w:val="00751A45"/>
    <w:rsid w:val="00771EE7"/>
    <w:rsid w:val="007C034A"/>
    <w:rsid w:val="007D1EE4"/>
    <w:rsid w:val="007D2D64"/>
    <w:rsid w:val="007F0BAA"/>
    <w:rsid w:val="00805224"/>
    <w:rsid w:val="008909C9"/>
    <w:rsid w:val="008B7CEC"/>
    <w:rsid w:val="008C5C8F"/>
    <w:rsid w:val="00905C82"/>
    <w:rsid w:val="009D0681"/>
    <w:rsid w:val="00B33B4F"/>
    <w:rsid w:val="00B64561"/>
    <w:rsid w:val="00BA78FA"/>
    <w:rsid w:val="00C44524"/>
    <w:rsid w:val="00C658EF"/>
    <w:rsid w:val="00C951FD"/>
    <w:rsid w:val="00CF10C7"/>
    <w:rsid w:val="00E22536"/>
    <w:rsid w:val="00F150AF"/>
    <w:rsid w:val="00F43B8E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C5B0"/>
  <w15:chartTrackingRefBased/>
  <w15:docId w15:val="{1063677F-C112-40C7-8D3F-C39B432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D4"/>
  </w:style>
  <w:style w:type="paragraph" w:styleId="Stopka">
    <w:name w:val="footer"/>
    <w:basedOn w:val="Normalny"/>
    <w:link w:val="Stopka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D4"/>
  </w:style>
  <w:style w:type="paragraph" w:styleId="NormalnyWeb">
    <w:name w:val="Normal (Web)"/>
    <w:basedOn w:val="Normalny"/>
    <w:uiPriority w:val="99"/>
    <w:unhideWhenUsed/>
    <w:rsid w:val="0067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33B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2626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Łabęcka</dc:creator>
  <cp:keywords/>
  <dc:description/>
  <cp:lastModifiedBy>Magdalena LGD Trzy Doliny</cp:lastModifiedBy>
  <cp:revision>6</cp:revision>
  <cp:lastPrinted>2025-02-04T08:27:00Z</cp:lastPrinted>
  <dcterms:created xsi:type="dcterms:W3CDTF">2025-01-30T04:03:00Z</dcterms:created>
  <dcterms:modified xsi:type="dcterms:W3CDTF">2025-02-21T06:04:00Z</dcterms:modified>
</cp:coreProperties>
</file>